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1CE" w:rsidRDefault="004321CE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4321CE" w:rsidRDefault="004321CE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4321CE" w:rsidRDefault="004321CE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4321CE" w:rsidRDefault="004321CE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8C4D51" w:rsidRDefault="008C4D51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1CE" w:rsidRDefault="004321CE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6</w:t>
                            </w:r>
                          </w:p>
                          <w:p w:rsidR="004321CE" w:rsidRDefault="004321CE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21CE" w:rsidRDefault="004321CE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4321CE" w:rsidRDefault="004321CE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6</w:t>
                      </w:r>
                    </w:p>
                    <w:p w:rsidR="004321CE" w:rsidRDefault="004321CE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21CE" w:rsidRDefault="004321CE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5311C1">
        <w:rPr>
          <w:b/>
          <w:sz w:val="28"/>
          <w:szCs w:val="28"/>
        </w:rPr>
        <w:t>November 8</w:t>
      </w:r>
      <w:r w:rsidR="005311C1" w:rsidRPr="005311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Pr="00EA2140" w:rsidRDefault="006C1DA1" w:rsidP="006C1DA1">
      <w:pPr>
        <w:rPr>
          <w:b/>
          <w:sz w:val="18"/>
          <w:szCs w:val="28"/>
        </w:rPr>
      </w:pPr>
    </w:p>
    <w:p w:rsidR="006C1DA1" w:rsidRPr="00FB2BAD" w:rsidRDefault="005311C1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Elizabethan Gallery, Wakefield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Pr="00D22A31" w:rsidRDefault="006C1DA1" w:rsidP="006C1DA1">
      <w:pPr>
        <w:rPr>
          <w:b/>
          <w:sz w:val="18"/>
        </w:rPr>
      </w:pPr>
      <w:bookmarkStart w:id="0" w:name="_GoBack"/>
      <w:bookmarkEnd w:id="0"/>
    </w:p>
    <w:p w:rsidR="006C1DA1" w:rsidRDefault="00AA7A50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Delivering Savings</w:t>
      </w:r>
    </w:p>
    <w:p w:rsidR="006C1DA1" w:rsidRDefault="006C1DA1" w:rsidP="006C1DA1"/>
    <w:p w:rsidR="0071718C" w:rsidRDefault="0071718C"/>
    <w:p w:rsidR="00FF21C6" w:rsidRDefault="00FF21C6"/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896E7A">
        <w:rPr>
          <w:b/>
          <w:sz w:val="24"/>
          <w:szCs w:val="24"/>
        </w:rPr>
        <w:t>Overview</w:t>
      </w:r>
    </w:p>
    <w:p w:rsidR="00AA01B6" w:rsidRDefault="00AA01B6">
      <w:pPr>
        <w:rPr>
          <w:b/>
          <w:sz w:val="24"/>
          <w:szCs w:val="24"/>
        </w:rPr>
      </w:pPr>
    </w:p>
    <w:p w:rsidR="00D11C03" w:rsidRPr="00896E7A" w:rsidRDefault="00AA01B6" w:rsidP="00D11C03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715CD8">
        <w:rPr>
          <w:sz w:val="24"/>
          <w:szCs w:val="24"/>
        </w:rPr>
        <w:t>Th</w:t>
      </w:r>
      <w:r w:rsidR="00AA7A50">
        <w:rPr>
          <w:sz w:val="24"/>
          <w:szCs w:val="24"/>
        </w:rPr>
        <w:t xml:space="preserve">is report provides the Panel </w:t>
      </w:r>
      <w:r w:rsidR="00B31444">
        <w:rPr>
          <w:sz w:val="24"/>
          <w:szCs w:val="24"/>
        </w:rPr>
        <w:t xml:space="preserve">with </w:t>
      </w:r>
      <w:r w:rsidR="00EA2140">
        <w:rPr>
          <w:sz w:val="24"/>
          <w:szCs w:val="24"/>
        </w:rPr>
        <w:t xml:space="preserve">publicly-accessible </w:t>
      </w:r>
      <w:r w:rsidR="00D11C03">
        <w:rPr>
          <w:sz w:val="24"/>
          <w:szCs w:val="24"/>
        </w:rPr>
        <w:t xml:space="preserve">background </w:t>
      </w:r>
      <w:r w:rsidR="00EA2140">
        <w:rPr>
          <w:sz w:val="24"/>
          <w:szCs w:val="24"/>
        </w:rPr>
        <w:t>information</w:t>
      </w:r>
      <w:r w:rsidR="00B31444">
        <w:rPr>
          <w:sz w:val="24"/>
          <w:szCs w:val="24"/>
        </w:rPr>
        <w:t xml:space="preserve"> that relates to how the Police and Crime Commissioner </w:t>
      </w:r>
      <w:proofErr w:type="gramStart"/>
      <w:r w:rsidR="00896E7A">
        <w:rPr>
          <w:sz w:val="24"/>
          <w:szCs w:val="24"/>
        </w:rPr>
        <w:t>delivers</w:t>
      </w:r>
      <w:proofErr w:type="gramEnd"/>
      <w:r w:rsidR="00896E7A">
        <w:rPr>
          <w:sz w:val="24"/>
          <w:szCs w:val="24"/>
        </w:rPr>
        <w:t xml:space="preserve"> savings</w:t>
      </w:r>
      <w:r w:rsidR="00E14C5E">
        <w:rPr>
          <w:sz w:val="24"/>
          <w:szCs w:val="24"/>
        </w:rPr>
        <w:t xml:space="preserve">. </w:t>
      </w:r>
      <w:r w:rsidR="00896E7A">
        <w:rPr>
          <w:sz w:val="24"/>
          <w:szCs w:val="24"/>
        </w:rPr>
        <w:t xml:space="preserve"> </w:t>
      </w:r>
      <w:r w:rsidR="00D11C03">
        <w:rPr>
          <w:sz w:val="24"/>
          <w:szCs w:val="24"/>
        </w:rPr>
        <w:t xml:space="preserve">The Police and Crime Commissioner will provide an oral update to Panel. </w:t>
      </w:r>
    </w:p>
    <w:p w:rsidR="00D11C03" w:rsidRDefault="00D11C03" w:rsidP="00D11C03">
      <w:pPr>
        <w:pStyle w:val="ListParagraph"/>
        <w:ind w:left="709"/>
        <w:rPr>
          <w:sz w:val="24"/>
          <w:szCs w:val="24"/>
        </w:rPr>
      </w:pPr>
    </w:p>
    <w:p w:rsidR="00896E7A" w:rsidRDefault="00D11C03" w:rsidP="00896E7A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The purpose of the item is for </w:t>
      </w:r>
      <w:r w:rsidR="00896E7A">
        <w:rPr>
          <w:sz w:val="24"/>
          <w:szCs w:val="24"/>
        </w:rPr>
        <w:t xml:space="preserve">the Panel to </w:t>
      </w:r>
      <w:r w:rsidR="004321CE">
        <w:rPr>
          <w:sz w:val="24"/>
          <w:szCs w:val="24"/>
        </w:rPr>
        <w:t>examine</w:t>
      </w:r>
      <w:r w:rsidR="00896E7A">
        <w:rPr>
          <w:sz w:val="24"/>
          <w:szCs w:val="24"/>
        </w:rPr>
        <w:t xml:space="preserve"> the steps taken by the Police and Crime Commissioner to ensure that savings targets are met without comprising the resource required by the Chief Constable to deliver his operational commitments. </w:t>
      </w:r>
    </w:p>
    <w:p w:rsidR="00715CD8" w:rsidRPr="00715CD8" w:rsidRDefault="00715CD8" w:rsidP="00715CD8">
      <w:pPr>
        <w:pStyle w:val="ListParagraph"/>
        <w:ind w:left="709"/>
        <w:rPr>
          <w:sz w:val="24"/>
          <w:szCs w:val="24"/>
        </w:rPr>
      </w:pPr>
    </w:p>
    <w:p w:rsidR="00830AA4" w:rsidRDefault="00830AA4" w:rsidP="00E14C5E">
      <w:pPr>
        <w:pStyle w:val="ListParagraph"/>
        <w:numPr>
          <w:ilvl w:val="1"/>
          <w:numId w:val="13"/>
        </w:numPr>
        <w:ind w:left="709" w:right="-188" w:hanging="709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96E7A">
        <w:rPr>
          <w:sz w:val="24"/>
          <w:szCs w:val="24"/>
        </w:rPr>
        <w:t>information provided includes:</w:t>
      </w:r>
    </w:p>
    <w:p w:rsidR="00896E7A" w:rsidRPr="004321CE" w:rsidRDefault="00896E7A" w:rsidP="00896E7A">
      <w:pPr>
        <w:pStyle w:val="ListParagraph"/>
        <w:rPr>
          <w:sz w:val="12"/>
          <w:szCs w:val="24"/>
        </w:rPr>
      </w:pPr>
    </w:p>
    <w:p w:rsidR="00896E7A" w:rsidRDefault="00896E7A" w:rsidP="00FF21C6">
      <w:pPr>
        <w:pStyle w:val="ListParagraph"/>
        <w:ind w:right="-188"/>
        <w:rPr>
          <w:sz w:val="24"/>
          <w:szCs w:val="24"/>
        </w:rPr>
      </w:pPr>
      <w:r w:rsidRPr="00FF21C6">
        <w:rPr>
          <w:b/>
          <w:i/>
          <w:sz w:val="24"/>
          <w:szCs w:val="24"/>
        </w:rPr>
        <w:t>Annex A</w:t>
      </w:r>
      <w:r>
        <w:rPr>
          <w:sz w:val="24"/>
          <w:szCs w:val="24"/>
        </w:rPr>
        <w:t xml:space="preserve"> </w:t>
      </w:r>
      <w:r w:rsidR="004321CE">
        <w:rPr>
          <w:sz w:val="24"/>
          <w:szCs w:val="24"/>
        </w:rPr>
        <w:t>– the</w:t>
      </w:r>
      <w:r>
        <w:rPr>
          <w:sz w:val="24"/>
          <w:szCs w:val="24"/>
        </w:rPr>
        <w:t xml:space="preserve"> </w:t>
      </w:r>
      <w:r w:rsidR="004321CE">
        <w:rPr>
          <w:sz w:val="24"/>
          <w:szCs w:val="24"/>
        </w:rPr>
        <w:t xml:space="preserve">briefing paper for the Police and Crime Commissioner about the monitoring of the Force budget for 2013/14 (for Quarter 1).  </w:t>
      </w:r>
    </w:p>
    <w:p w:rsidR="004321CE" w:rsidRPr="004321CE" w:rsidRDefault="004321CE" w:rsidP="004321CE">
      <w:pPr>
        <w:pStyle w:val="ListParagraph"/>
        <w:ind w:right="-188"/>
        <w:rPr>
          <w:sz w:val="12"/>
          <w:szCs w:val="24"/>
        </w:rPr>
      </w:pPr>
    </w:p>
    <w:p w:rsidR="00896E7A" w:rsidRDefault="00896E7A" w:rsidP="00FF21C6">
      <w:pPr>
        <w:pStyle w:val="ListParagraph"/>
        <w:ind w:right="-188"/>
        <w:rPr>
          <w:sz w:val="24"/>
          <w:szCs w:val="24"/>
        </w:rPr>
      </w:pPr>
      <w:r w:rsidRPr="00FF21C6">
        <w:rPr>
          <w:b/>
          <w:i/>
          <w:sz w:val="24"/>
          <w:szCs w:val="24"/>
        </w:rPr>
        <w:t>Annex B</w:t>
      </w:r>
      <w:r>
        <w:rPr>
          <w:sz w:val="24"/>
          <w:szCs w:val="24"/>
        </w:rPr>
        <w:t xml:space="preserve"> – </w:t>
      </w:r>
      <w:r w:rsidR="004321CE">
        <w:rPr>
          <w:sz w:val="24"/>
          <w:szCs w:val="24"/>
        </w:rPr>
        <w:t xml:space="preserve">the </w:t>
      </w:r>
      <w:r w:rsidR="00561B89">
        <w:rPr>
          <w:sz w:val="24"/>
          <w:szCs w:val="24"/>
        </w:rPr>
        <w:t>Panel’s decision to endorse the Police and Crime Commissioner’s proposal to increase the Council Tax precept by 3.8%</w:t>
      </w:r>
      <w:r w:rsidR="00EC47ED">
        <w:rPr>
          <w:sz w:val="24"/>
          <w:szCs w:val="24"/>
        </w:rPr>
        <w:t xml:space="preserve"> and his response</w:t>
      </w:r>
      <w:r w:rsidR="00561B89">
        <w:rPr>
          <w:sz w:val="24"/>
          <w:szCs w:val="24"/>
        </w:rPr>
        <w:t xml:space="preserve">.  </w:t>
      </w:r>
    </w:p>
    <w:p w:rsidR="00830AA4" w:rsidRPr="00830AA4" w:rsidRDefault="00830AA4" w:rsidP="00830AA4">
      <w:pPr>
        <w:pStyle w:val="ListParagraph"/>
        <w:rPr>
          <w:sz w:val="24"/>
          <w:szCs w:val="24"/>
        </w:rPr>
      </w:pPr>
    </w:p>
    <w:p w:rsidR="005B01D0" w:rsidRDefault="005B01D0" w:rsidP="007229AE">
      <w:pPr>
        <w:ind w:left="720" w:hanging="720"/>
        <w:rPr>
          <w:sz w:val="24"/>
          <w:szCs w:val="24"/>
        </w:rPr>
      </w:pPr>
    </w:p>
    <w:p w:rsidR="005B01D0" w:rsidRPr="005B01D0" w:rsidRDefault="00896E7A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FF21C6" w:rsidRDefault="005B01D0" w:rsidP="00F358E7">
      <w:pPr>
        <w:ind w:left="720" w:right="-188" w:hanging="720"/>
        <w:rPr>
          <w:sz w:val="16"/>
          <w:szCs w:val="24"/>
        </w:rPr>
      </w:pPr>
    </w:p>
    <w:p w:rsidR="003F50F5" w:rsidRPr="00F358E7" w:rsidRDefault="00561B89" w:rsidP="003F50F5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  <w:t>It is recommended that the Panel</w:t>
      </w:r>
      <w:r w:rsidR="003F50F5" w:rsidRPr="00F358E7">
        <w:rPr>
          <w:sz w:val="24"/>
          <w:szCs w:val="24"/>
        </w:rPr>
        <w:t xml:space="preserve"> </w:t>
      </w:r>
      <w:r w:rsidR="003F50F5">
        <w:rPr>
          <w:sz w:val="24"/>
          <w:szCs w:val="24"/>
        </w:rPr>
        <w:t>provides an opportunity for the Police and Crime Commissioner to set out how he had monitored the progress and effect of delivering savings in financial year 2013/14</w:t>
      </w:r>
      <w:r w:rsidR="003F50F5" w:rsidRPr="00F358E7">
        <w:rPr>
          <w:sz w:val="24"/>
          <w:szCs w:val="24"/>
        </w:rPr>
        <w:t>.</w:t>
      </w:r>
      <w:r w:rsidR="003F50F5">
        <w:rPr>
          <w:sz w:val="24"/>
          <w:szCs w:val="24"/>
        </w:rPr>
        <w:t xml:space="preserve"> </w:t>
      </w:r>
      <w:r w:rsidR="003F50F5" w:rsidRPr="00F358E7">
        <w:rPr>
          <w:sz w:val="24"/>
          <w:szCs w:val="24"/>
        </w:rPr>
        <w:t xml:space="preserve">  </w:t>
      </w:r>
    </w:p>
    <w:p w:rsidR="00FF21C6" w:rsidRDefault="00FF21C6" w:rsidP="00F358E7">
      <w:pPr>
        <w:ind w:left="720" w:right="-188" w:hanging="720"/>
        <w:rPr>
          <w:sz w:val="24"/>
          <w:szCs w:val="24"/>
        </w:rPr>
      </w:pPr>
    </w:p>
    <w:p w:rsidR="00FF21C6" w:rsidRDefault="00FF21C6" w:rsidP="00F358E7">
      <w:pPr>
        <w:ind w:left="720" w:right="-188" w:hanging="720"/>
        <w:rPr>
          <w:sz w:val="24"/>
          <w:szCs w:val="24"/>
        </w:rPr>
      </w:pPr>
    </w:p>
    <w:p w:rsidR="00FF21C6" w:rsidRDefault="00FF21C6" w:rsidP="00F358E7">
      <w:pPr>
        <w:ind w:left="720" w:right="-188" w:hanging="720"/>
        <w:rPr>
          <w:sz w:val="24"/>
          <w:szCs w:val="24"/>
        </w:rPr>
      </w:pPr>
    </w:p>
    <w:p w:rsidR="007C5D1F" w:rsidRPr="007C5D1F" w:rsidRDefault="007C5D1F" w:rsidP="007C5D1F">
      <w:pPr>
        <w:rPr>
          <w:sz w:val="24"/>
          <w:szCs w:val="24"/>
        </w:rPr>
      </w:pP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CE" w:rsidRDefault="004321CE" w:rsidP="00344495">
      <w:r>
        <w:separator/>
      </w:r>
    </w:p>
  </w:endnote>
  <w:endnote w:type="continuationSeparator" w:id="0">
    <w:p w:rsidR="004321CE" w:rsidRDefault="004321CE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321CE" w:rsidRDefault="004321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A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A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21CE" w:rsidRDefault="00432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CE" w:rsidRDefault="004321CE" w:rsidP="00344495">
      <w:r>
        <w:separator/>
      </w:r>
    </w:p>
  </w:footnote>
  <w:footnote w:type="continuationSeparator" w:id="0">
    <w:p w:rsidR="004321CE" w:rsidRDefault="004321CE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18"/>
  </w:num>
  <w:num w:numId="9">
    <w:abstractNumId w:val="14"/>
  </w:num>
  <w:num w:numId="10">
    <w:abstractNumId w:val="6"/>
  </w:num>
  <w:num w:numId="11">
    <w:abstractNumId w:val="16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604C5"/>
    <w:rsid w:val="00066715"/>
    <w:rsid w:val="0008000D"/>
    <w:rsid w:val="000874D1"/>
    <w:rsid w:val="0009467D"/>
    <w:rsid w:val="000C2612"/>
    <w:rsid w:val="000D3158"/>
    <w:rsid w:val="0014392D"/>
    <w:rsid w:val="001470CE"/>
    <w:rsid w:val="00157F10"/>
    <w:rsid w:val="00161C40"/>
    <w:rsid w:val="001649A6"/>
    <w:rsid w:val="0016550D"/>
    <w:rsid w:val="0018774F"/>
    <w:rsid w:val="00193258"/>
    <w:rsid w:val="00193B11"/>
    <w:rsid w:val="00194AE4"/>
    <w:rsid w:val="001C23C2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50316"/>
    <w:rsid w:val="00275191"/>
    <w:rsid w:val="002927A6"/>
    <w:rsid w:val="00293299"/>
    <w:rsid w:val="002A351B"/>
    <w:rsid w:val="002A47F9"/>
    <w:rsid w:val="002C3ECB"/>
    <w:rsid w:val="002E209B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3F50F5"/>
    <w:rsid w:val="00401167"/>
    <w:rsid w:val="00415BB0"/>
    <w:rsid w:val="004321CE"/>
    <w:rsid w:val="00433F6F"/>
    <w:rsid w:val="00455DBE"/>
    <w:rsid w:val="00461AAF"/>
    <w:rsid w:val="00496003"/>
    <w:rsid w:val="004972D9"/>
    <w:rsid w:val="004A0873"/>
    <w:rsid w:val="004A1A5D"/>
    <w:rsid w:val="004C0831"/>
    <w:rsid w:val="004C35A1"/>
    <w:rsid w:val="004D0BCE"/>
    <w:rsid w:val="004D3D33"/>
    <w:rsid w:val="004D4621"/>
    <w:rsid w:val="004D5D9E"/>
    <w:rsid w:val="004E13F7"/>
    <w:rsid w:val="00502CB3"/>
    <w:rsid w:val="00521E66"/>
    <w:rsid w:val="0052551E"/>
    <w:rsid w:val="005311C1"/>
    <w:rsid w:val="00536FC0"/>
    <w:rsid w:val="00550A4E"/>
    <w:rsid w:val="00552275"/>
    <w:rsid w:val="005532FE"/>
    <w:rsid w:val="00553A65"/>
    <w:rsid w:val="00560626"/>
    <w:rsid w:val="00561B89"/>
    <w:rsid w:val="005721B2"/>
    <w:rsid w:val="005752CB"/>
    <w:rsid w:val="005772B9"/>
    <w:rsid w:val="00593797"/>
    <w:rsid w:val="005B01D0"/>
    <w:rsid w:val="005B145D"/>
    <w:rsid w:val="005B48DD"/>
    <w:rsid w:val="005C7BBE"/>
    <w:rsid w:val="005E3E25"/>
    <w:rsid w:val="005F54DB"/>
    <w:rsid w:val="005F7707"/>
    <w:rsid w:val="00623964"/>
    <w:rsid w:val="00624C07"/>
    <w:rsid w:val="006304AF"/>
    <w:rsid w:val="00636DB1"/>
    <w:rsid w:val="00643AAC"/>
    <w:rsid w:val="0066308F"/>
    <w:rsid w:val="0066370B"/>
    <w:rsid w:val="006776DB"/>
    <w:rsid w:val="00677C6A"/>
    <w:rsid w:val="00677E3A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21B9F"/>
    <w:rsid w:val="008262D4"/>
    <w:rsid w:val="00830AA4"/>
    <w:rsid w:val="0083575E"/>
    <w:rsid w:val="008437F7"/>
    <w:rsid w:val="0086629E"/>
    <w:rsid w:val="0087518A"/>
    <w:rsid w:val="00896E7A"/>
    <w:rsid w:val="0089733D"/>
    <w:rsid w:val="008A3EAC"/>
    <w:rsid w:val="008A592A"/>
    <w:rsid w:val="008B5320"/>
    <w:rsid w:val="008C4D51"/>
    <w:rsid w:val="008C51EC"/>
    <w:rsid w:val="008C7570"/>
    <w:rsid w:val="008D053A"/>
    <w:rsid w:val="008D05ED"/>
    <w:rsid w:val="008D14F0"/>
    <w:rsid w:val="008D5D3F"/>
    <w:rsid w:val="008E3E0A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7389A"/>
    <w:rsid w:val="009773DB"/>
    <w:rsid w:val="00984EAB"/>
    <w:rsid w:val="00990D1B"/>
    <w:rsid w:val="009A78B5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3B84"/>
    <w:rsid w:val="00A40B4A"/>
    <w:rsid w:val="00A4228E"/>
    <w:rsid w:val="00A430A4"/>
    <w:rsid w:val="00A44C67"/>
    <w:rsid w:val="00A94D9E"/>
    <w:rsid w:val="00AA01B6"/>
    <w:rsid w:val="00AA72CC"/>
    <w:rsid w:val="00AA7A50"/>
    <w:rsid w:val="00AE5678"/>
    <w:rsid w:val="00B0334F"/>
    <w:rsid w:val="00B1046E"/>
    <w:rsid w:val="00B10B79"/>
    <w:rsid w:val="00B21300"/>
    <w:rsid w:val="00B2304C"/>
    <w:rsid w:val="00B31444"/>
    <w:rsid w:val="00B3170B"/>
    <w:rsid w:val="00B34219"/>
    <w:rsid w:val="00B35D50"/>
    <w:rsid w:val="00B40621"/>
    <w:rsid w:val="00B4454F"/>
    <w:rsid w:val="00B517A6"/>
    <w:rsid w:val="00B8699C"/>
    <w:rsid w:val="00B94254"/>
    <w:rsid w:val="00B95F43"/>
    <w:rsid w:val="00BB06EA"/>
    <w:rsid w:val="00BB6207"/>
    <w:rsid w:val="00BD175D"/>
    <w:rsid w:val="00BD5A47"/>
    <w:rsid w:val="00BF2643"/>
    <w:rsid w:val="00BF6A3B"/>
    <w:rsid w:val="00C21775"/>
    <w:rsid w:val="00C31C6E"/>
    <w:rsid w:val="00C66AB0"/>
    <w:rsid w:val="00C7190E"/>
    <w:rsid w:val="00C721A9"/>
    <w:rsid w:val="00C8049C"/>
    <w:rsid w:val="00C83A12"/>
    <w:rsid w:val="00C83A42"/>
    <w:rsid w:val="00C95DAB"/>
    <w:rsid w:val="00CA7BC2"/>
    <w:rsid w:val="00CB7C13"/>
    <w:rsid w:val="00CC2FE6"/>
    <w:rsid w:val="00D07274"/>
    <w:rsid w:val="00D11C03"/>
    <w:rsid w:val="00D1784F"/>
    <w:rsid w:val="00D216B9"/>
    <w:rsid w:val="00D22A31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B5549"/>
    <w:rsid w:val="00DC5127"/>
    <w:rsid w:val="00DF12A3"/>
    <w:rsid w:val="00DF3AE4"/>
    <w:rsid w:val="00E14C5E"/>
    <w:rsid w:val="00E5443E"/>
    <w:rsid w:val="00E612DC"/>
    <w:rsid w:val="00E650A1"/>
    <w:rsid w:val="00E96C7A"/>
    <w:rsid w:val="00EA2140"/>
    <w:rsid w:val="00EA7E57"/>
    <w:rsid w:val="00EC0E51"/>
    <w:rsid w:val="00EC47ED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D3180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DFDF34-C1EA-4B8B-863E-D5E71D12EB0C}"/>
</file>

<file path=customXml/itemProps2.xml><?xml version="1.0" encoding="utf-8"?>
<ds:datastoreItem xmlns:ds="http://schemas.openxmlformats.org/officeDocument/2006/customXml" ds:itemID="{98525AAB-02FD-439B-BA1A-18C90C0C80A9}"/>
</file>

<file path=customXml/itemProps3.xml><?xml version="1.0" encoding="utf-8"?>
<ds:datastoreItem xmlns:ds="http://schemas.openxmlformats.org/officeDocument/2006/customXml" ds:itemID="{01435E53-A93D-4D7C-855E-1FDC13360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6 - Delivering Savings</dc:title>
  <dc:creator>Elliott, Clare (AWYA)</dc:creator>
  <cp:lastModifiedBy>Skinner, Jonathan</cp:lastModifiedBy>
  <cp:revision>18</cp:revision>
  <cp:lastPrinted>2013-05-30T12:49:00Z</cp:lastPrinted>
  <dcterms:created xsi:type="dcterms:W3CDTF">2013-11-04T14:21:00Z</dcterms:created>
  <dcterms:modified xsi:type="dcterms:W3CDTF">2013-11-04T16:01:00Z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