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A1" w:rsidRDefault="006C1DA1" w:rsidP="00B8699C">
      <w:pPr>
        <w:ind w:firstLine="720"/>
        <w:rPr>
          <w:b/>
          <w:sz w:val="28"/>
          <w:szCs w:val="28"/>
        </w:rPr>
      </w:pPr>
      <w:r>
        <w:rPr>
          <w:noProof/>
          <w:lang w:eastAsia="en-GB"/>
        </w:rPr>
        <w:drawing>
          <wp:anchor distT="0" distB="0" distL="114300" distR="114300" simplePos="0" relativeHeight="251659264" behindDoc="0" locked="0" layoutInCell="1" allowOverlap="1" wp14:anchorId="712ED387" wp14:editId="2C75DF06">
            <wp:simplePos x="0" y="0"/>
            <wp:positionH relativeFrom="page">
              <wp:posOffset>731520</wp:posOffset>
            </wp:positionH>
            <wp:positionV relativeFrom="page">
              <wp:posOffset>306705</wp:posOffset>
            </wp:positionV>
            <wp:extent cx="1230630" cy="1600200"/>
            <wp:effectExtent l="0" t="0" r="7620" b="0"/>
            <wp:wrapTight wrapText="bothSides">
              <wp:wrapPolygon edited="0">
                <wp:start x="0" y="0"/>
                <wp:lineTo x="0" y="21343"/>
                <wp:lineTo x="21399" y="21343"/>
                <wp:lineTo x="21399" y="0"/>
                <wp:lineTo x="0" y="0"/>
              </wp:wrapPolygon>
            </wp:wrapTight>
            <wp:docPr id="1" name="Picture 1" descr="Description: 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2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630" cy="1600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40F9C21F" wp14:editId="4898EA0A">
                <wp:simplePos x="0" y="0"/>
                <wp:positionH relativeFrom="column">
                  <wp:posOffset>3822065</wp:posOffset>
                </wp:positionH>
                <wp:positionV relativeFrom="paragraph">
                  <wp:posOffset>-57150</wp:posOffset>
                </wp:positionV>
                <wp:extent cx="1431925" cy="657225"/>
                <wp:effectExtent l="0" t="0" r="158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657225"/>
                        </a:xfrm>
                        <a:prstGeom prst="rect">
                          <a:avLst/>
                        </a:prstGeom>
                        <a:solidFill>
                          <a:srgbClr val="FFFFFF"/>
                        </a:solidFill>
                        <a:ln w="9525">
                          <a:solidFill>
                            <a:srgbClr val="000000"/>
                          </a:solidFill>
                          <a:miter lim="800000"/>
                          <a:headEnd/>
                          <a:tailEnd/>
                        </a:ln>
                      </wps:spPr>
                      <wps:txbx>
                        <w:txbxContent>
                          <w:p w:rsidR="00D1419B" w:rsidRDefault="00D1419B" w:rsidP="006C1DA1">
                            <w:pPr>
                              <w:rPr>
                                <w:b/>
                              </w:rPr>
                            </w:pPr>
                            <w:r>
                              <w:rPr>
                                <w:b/>
                              </w:rPr>
                              <w:t>Jonathan Skinner</w:t>
                            </w:r>
                          </w:p>
                          <w:p w:rsidR="00D1419B" w:rsidRDefault="00D1419B" w:rsidP="006C1DA1">
                            <w:pPr>
                              <w:rPr>
                                <w:b/>
                              </w:rPr>
                            </w:pPr>
                            <w:r>
                              <w:rPr>
                                <w:b/>
                              </w:rPr>
                              <w:t>AWYA</w:t>
                            </w:r>
                          </w:p>
                          <w:p w:rsidR="00D1419B" w:rsidRDefault="00D1419B" w:rsidP="006C1DA1">
                            <w:pPr>
                              <w:rPr>
                                <w:b/>
                              </w:rPr>
                            </w:pPr>
                            <w:r>
                              <w:rPr>
                                <w:b/>
                              </w:rPr>
                              <w:t>01924 305191</w:t>
                            </w:r>
                          </w:p>
                          <w:p w:rsidR="00D1419B" w:rsidRDefault="00D1419B" w:rsidP="006C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0.95pt;margin-top:-4.5pt;width:112.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">
                <v:textbox>
                  <w:txbxContent>
                    <w:p w:rsidR="00D1419B" w:rsidRDefault="00D1419B" w:rsidP="006C1DA1">
                      <w:pPr>
                        <w:rPr>
                          <w:b/>
                        </w:rPr>
                      </w:pPr>
                      <w:r>
                        <w:rPr>
                          <w:b/>
                        </w:rPr>
                        <w:t>Jonathan Skinner</w:t>
                      </w:r>
                    </w:p>
                    <w:p w:rsidR="00D1419B" w:rsidRDefault="00D1419B" w:rsidP="006C1DA1">
                      <w:pPr>
                        <w:rPr>
                          <w:b/>
                        </w:rPr>
                      </w:pPr>
                      <w:r>
                        <w:rPr>
                          <w:b/>
                        </w:rPr>
                        <w:t>AWYA</w:t>
                      </w:r>
                    </w:p>
                    <w:p w:rsidR="00D1419B" w:rsidRDefault="00D1419B" w:rsidP="006C1DA1">
                      <w:pPr>
                        <w:rPr>
                          <w:b/>
                        </w:rPr>
                      </w:pPr>
                      <w:r>
                        <w:rPr>
                          <w:b/>
                        </w:rPr>
                        <w:t>01924 305191</w:t>
                      </w:r>
                    </w:p>
                    <w:p w:rsidR="00D1419B" w:rsidRDefault="00D1419B" w:rsidP="006C1DA1"/>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D57661D" wp14:editId="0CF53045">
                <wp:simplePos x="0" y="0"/>
                <wp:positionH relativeFrom="column">
                  <wp:posOffset>3821430</wp:posOffset>
                </wp:positionH>
                <wp:positionV relativeFrom="paragraph">
                  <wp:posOffset>-695325</wp:posOffset>
                </wp:positionV>
                <wp:extent cx="1431925" cy="419100"/>
                <wp:effectExtent l="0" t="0" r="158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19100"/>
                        </a:xfrm>
                        <a:prstGeom prst="rect">
                          <a:avLst/>
                        </a:prstGeom>
                        <a:solidFill>
                          <a:srgbClr val="FFFFFF"/>
                        </a:solidFill>
                        <a:ln w="9525">
                          <a:solidFill>
                            <a:srgbClr val="000000"/>
                          </a:solidFill>
                          <a:miter lim="800000"/>
                          <a:headEnd/>
                          <a:tailEnd/>
                        </a:ln>
                      </wps:spPr>
                      <wps:txbx>
                        <w:txbxContent>
                          <w:p w:rsidR="00D1419B" w:rsidRDefault="00DA087C" w:rsidP="006C1DA1">
                            <w:pPr>
                              <w:jc w:val="center"/>
                              <w:rPr>
                                <w:b/>
                                <w:sz w:val="28"/>
                                <w:szCs w:val="28"/>
                              </w:rPr>
                            </w:pPr>
                            <w:r>
                              <w:rPr>
                                <w:b/>
                                <w:sz w:val="28"/>
                                <w:szCs w:val="28"/>
                              </w:rPr>
                              <w:t>Item 12</w:t>
                            </w:r>
                          </w:p>
                          <w:p w:rsidR="00D1419B" w:rsidRDefault="00D1419B" w:rsidP="006C1DA1">
                            <w:pPr>
                              <w:rPr>
                                <w:b/>
                                <w:sz w:val="28"/>
                                <w:szCs w:val="28"/>
                              </w:rPr>
                            </w:pPr>
                          </w:p>
                          <w:p w:rsidR="00D1419B" w:rsidRDefault="00D1419B" w:rsidP="006C1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left:0;text-align:left;margin-left:300.9pt;margin-top:-54.75pt;width:112.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">
                <v:textbox>
                  <w:txbxContent>
                    <w:p w:rsidR="00D1419B" w:rsidRDefault="00DA087C" w:rsidP="006C1DA1">
                      <w:pPr>
                        <w:jc w:val="center"/>
                        <w:rPr>
                          <w:b/>
                          <w:sz w:val="28"/>
                          <w:szCs w:val="28"/>
                        </w:rPr>
                      </w:pPr>
                      <w:r>
                        <w:rPr>
                          <w:b/>
                          <w:sz w:val="28"/>
                          <w:szCs w:val="28"/>
                        </w:rPr>
                        <w:t>Item 12</w:t>
                      </w:r>
                    </w:p>
                    <w:p w:rsidR="00D1419B" w:rsidRDefault="00D1419B" w:rsidP="006C1DA1">
                      <w:pPr>
                        <w:rPr>
                          <w:b/>
                          <w:sz w:val="28"/>
                          <w:szCs w:val="28"/>
                        </w:rPr>
                      </w:pPr>
                    </w:p>
                    <w:p w:rsidR="00D1419B" w:rsidRDefault="00D1419B" w:rsidP="006C1DA1"/>
                  </w:txbxContent>
                </v:textbox>
              </v:shape>
            </w:pict>
          </mc:Fallback>
        </mc:AlternateContent>
      </w:r>
      <w:r>
        <w:rPr>
          <w:b/>
          <w:sz w:val="28"/>
          <w:szCs w:val="28"/>
        </w:rPr>
        <w:t>Friday</w:t>
      </w:r>
      <w:r w:rsidR="008437F7">
        <w:rPr>
          <w:b/>
          <w:sz w:val="28"/>
          <w:szCs w:val="28"/>
        </w:rPr>
        <w:t xml:space="preserve"> </w:t>
      </w:r>
      <w:r w:rsidR="00F27EE2">
        <w:rPr>
          <w:b/>
          <w:sz w:val="28"/>
          <w:szCs w:val="28"/>
        </w:rPr>
        <w:t>June 7</w:t>
      </w:r>
      <w:r w:rsidR="00F27EE2" w:rsidRPr="00F27EE2">
        <w:rPr>
          <w:b/>
          <w:sz w:val="28"/>
          <w:szCs w:val="28"/>
          <w:vertAlign w:val="superscript"/>
        </w:rPr>
        <w:t>th</w:t>
      </w:r>
      <w:r>
        <w:rPr>
          <w:b/>
          <w:sz w:val="28"/>
          <w:szCs w:val="28"/>
        </w:rPr>
        <w:t>, 2013</w:t>
      </w:r>
      <w:r>
        <w:rPr>
          <w:b/>
          <w:sz w:val="28"/>
          <w:szCs w:val="28"/>
        </w:rPr>
        <w:tab/>
      </w:r>
      <w:r>
        <w:rPr>
          <w:b/>
          <w:sz w:val="28"/>
          <w:szCs w:val="28"/>
        </w:rPr>
        <w:tab/>
      </w:r>
      <w:r>
        <w:rPr>
          <w:b/>
          <w:sz w:val="28"/>
          <w:szCs w:val="28"/>
        </w:rPr>
        <w:tab/>
      </w:r>
      <w:r>
        <w:rPr>
          <w:b/>
          <w:sz w:val="28"/>
          <w:szCs w:val="28"/>
        </w:rPr>
        <w:tab/>
      </w:r>
    </w:p>
    <w:p w:rsidR="006C1DA1" w:rsidRDefault="006C1DA1" w:rsidP="006C1DA1">
      <w:pPr>
        <w:rPr>
          <w:b/>
          <w:sz w:val="28"/>
          <w:szCs w:val="28"/>
        </w:rPr>
      </w:pPr>
    </w:p>
    <w:p w:rsidR="006C1DA1" w:rsidRPr="00D11BE2" w:rsidRDefault="006C1DA1" w:rsidP="006C1DA1">
      <w:pPr>
        <w:ind w:firstLine="720"/>
        <w:rPr>
          <w:b/>
          <w:color w:val="000000" w:themeColor="text1"/>
          <w:sz w:val="28"/>
          <w:szCs w:val="28"/>
        </w:rPr>
      </w:pPr>
      <w:r w:rsidRPr="00D11BE2">
        <w:rPr>
          <w:b/>
          <w:color w:val="000000" w:themeColor="text1"/>
          <w:sz w:val="28"/>
          <w:szCs w:val="28"/>
        </w:rPr>
        <w:t xml:space="preserve">Old Restaurant, Wakefield Town Hall </w:t>
      </w:r>
    </w:p>
    <w:p w:rsidR="006C1DA1" w:rsidRDefault="006C1DA1" w:rsidP="006C1DA1">
      <w:pPr>
        <w:rPr>
          <w:b/>
        </w:rPr>
      </w:pPr>
    </w:p>
    <w:p w:rsidR="006C1DA1" w:rsidRDefault="00F27EE2" w:rsidP="00D11BE2">
      <w:pPr>
        <w:ind w:left="2535" w:right="-755"/>
        <w:rPr>
          <w:b/>
          <w:sz w:val="28"/>
          <w:szCs w:val="28"/>
        </w:rPr>
      </w:pPr>
      <w:r>
        <w:rPr>
          <w:b/>
          <w:sz w:val="28"/>
          <w:szCs w:val="28"/>
        </w:rPr>
        <w:t xml:space="preserve">Impact of the Anti-Social Behaviour, Crime and Policing Bill </w:t>
      </w:r>
    </w:p>
    <w:p w:rsidR="006C1DA1" w:rsidRDefault="006C1DA1" w:rsidP="006C1DA1"/>
    <w:p w:rsidR="0071718C" w:rsidRDefault="0071718C"/>
    <w:p w:rsidR="00AA01B6" w:rsidRDefault="00AA01B6">
      <w:pPr>
        <w:rPr>
          <w:b/>
          <w:sz w:val="24"/>
          <w:szCs w:val="24"/>
        </w:rPr>
      </w:pPr>
      <w:r>
        <w:rPr>
          <w:b/>
          <w:sz w:val="24"/>
          <w:szCs w:val="24"/>
        </w:rPr>
        <w:t>1.</w:t>
      </w:r>
      <w:r>
        <w:rPr>
          <w:b/>
          <w:sz w:val="24"/>
          <w:szCs w:val="24"/>
        </w:rPr>
        <w:tab/>
        <w:t>Purpose</w:t>
      </w:r>
    </w:p>
    <w:p w:rsidR="00AA01B6" w:rsidRDefault="00AA01B6">
      <w:pPr>
        <w:rPr>
          <w:b/>
          <w:sz w:val="24"/>
          <w:szCs w:val="24"/>
        </w:rPr>
      </w:pPr>
    </w:p>
    <w:p w:rsidR="00235E77" w:rsidRDefault="00AA01B6" w:rsidP="00715CD8">
      <w:pPr>
        <w:pStyle w:val="ListParagraph"/>
        <w:numPr>
          <w:ilvl w:val="1"/>
          <w:numId w:val="13"/>
        </w:numPr>
        <w:ind w:left="709" w:hanging="709"/>
        <w:rPr>
          <w:sz w:val="24"/>
          <w:szCs w:val="24"/>
        </w:rPr>
      </w:pPr>
      <w:r w:rsidRPr="00715CD8">
        <w:rPr>
          <w:sz w:val="24"/>
          <w:szCs w:val="24"/>
        </w:rPr>
        <w:t>The purpose of this report is to</w:t>
      </w:r>
      <w:r w:rsidR="00FC16E4" w:rsidRPr="00715CD8">
        <w:rPr>
          <w:sz w:val="24"/>
          <w:szCs w:val="24"/>
        </w:rPr>
        <w:t xml:space="preserve"> inform</w:t>
      </w:r>
      <w:r w:rsidR="00235E77" w:rsidRPr="00715CD8">
        <w:rPr>
          <w:sz w:val="24"/>
          <w:szCs w:val="24"/>
        </w:rPr>
        <w:t xml:space="preserve"> Panel</w:t>
      </w:r>
      <w:r w:rsidR="00700809" w:rsidRPr="00715CD8">
        <w:rPr>
          <w:sz w:val="24"/>
          <w:szCs w:val="24"/>
        </w:rPr>
        <w:t xml:space="preserve"> </w:t>
      </w:r>
      <w:r w:rsidR="00FC16E4" w:rsidRPr="00715CD8">
        <w:rPr>
          <w:sz w:val="24"/>
          <w:szCs w:val="24"/>
        </w:rPr>
        <w:t xml:space="preserve">about the Anti-Social Behaviour, Crime and Policing Bill.  </w:t>
      </w:r>
      <w:r w:rsidR="00C7190E" w:rsidRPr="00715CD8">
        <w:rPr>
          <w:sz w:val="24"/>
          <w:szCs w:val="24"/>
        </w:rPr>
        <w:t xml:space="preserve"> Whilst the Bill still has to pass through the </w:t>
      </w:r>
      <w:r w:rsidR="00715CD8" w:rsidRPr="00715CD8">
        <w:rPr>
          <w:sz w:val="24"/>
          <w:szCs w:val="24"/>
        </w:rPr>
        <w:t xml:space="preserve">Parliamentary process, the Panel will need to be mindful of </w:t>
      </w:r>
      <w:r w:rsidR="00C7190E" w:rsidRPr="00715CD8">
        <w:rPr>
          <w:sz w:val="24"/>
          <w:szCs w:val="24"/>
        </w:rPr>
        <w:t>implications for the Police and Crime Commissioner and partner bodies</w:t>
      </w:r>
      <w:r w:rsidR="00715CD8">
        <w:rPr>
          <w:sz w:val="24"/>
          <w:szCs w:val="24"/>
        </w:rPr>
        <w:t>, including:</w:t>
      </w:r>
    </w:p>
    <w:p w:rsidR="006C5EDA" w:rsidRDefault="006C5EDA" w:rsidP="006C5EDA">
      <w:pPr>
        <w:pStyle w:val="ListParagraph"/>
        <w:ind w:left="709"/>
        <w:rPr>
          <w:sz w:val="24"/>
          <w:szCs w:val="24"/>
        </w:rPr>
      </w:pPr>
    </w:p>
    <w:p w:rsidR="00715CD8" w:rsidRDefault="00715CD8" w:rsidP="00715CD8">
      <w:pPr>
        <w:pStyle w:val="ListParagraph"/>
        <w:numPr>
          <w:ilvl w:val="0"/>
          <w:numId w:val="14"/>
        </w:numPr>
        <w:ind w:left="1560"/>
        <w:rPr>
          <w:sz w:val="24"/>
          <w:szCs w:val="24"/>
        </w:rPr>
      </w:pPr>
      <w:r>
        <w:rPr>
          <w:sz w:val="24"/>
          <w:szCs w:val="24"/>
        </w:rPr>
        <w:t>Focusing the response to anti-social behaviour on the needs of victims;</w:t>
      </w:r>
    </w:p>
    <w:p w:rsidR="00715CD8" w:rsidRDefault="00715CD8" w:rsidP="00715CD8">
      <w:pPr>
        <w:pStyle w:val="ListParagraph"/>
        <w:numPr>
          <w:ilvl w:val="0"/>
          <w:numId w:val="14"/>
        </w:numPr>
        <w:ind w:left="1560"/>
        <w:rPr>
          <w:sz w:val="24"/>
          <w:szCs w:val="24"/>
        </w:rPr>
      </w:pPr>
      <w:r>
        <w:rPr>
          <w:sz w:val="24"/>
          <w:szCs w:val="24"/>
        </w:rPr>
        <w:t>Empower</w:t>
      </w:r>
      <w:r w:rsidR="00A04370">
        <w:rPr>
          <w:sz w:val="24"/>
          <w:szCs w:val="24"/>
        </w:rPr>
        <w:t>ing</w:t>
      </w:r>
      <w:r>
        <w:rPr>
          <w:sz w:val="24"/>
          <w:szCs w:val="24"/>
        </w:rPr>
        <w:t xml:space="preserve"> communities to get involved in tackling anti-social behaviour;</w:t>
      </w:r>
    </w:p>
    <w:p w:rsidR="00715CD8" w:rsidRDefault="00A04370" w:rsidP="00715CD8">
      <w:pPr>
        <w:pStyle w:val="ListParagraph"/>
        <w:numPr>
          <w:ilvl w:val="0"/>
          <w:numId w:val="14"/>
        </w:numPr>
        <w:ind w:left="1560"/>
        <w:rPr>
          <w:sz w:val="24"/>
          <w:szCs w:val="24"/>
        </w:rPr>
      </w:pPr>
      <w:r>
        <w:rPr>
          <w:sz w:val="24"/>
          <w:szCs w:val="24"/>
        </w:rPr>
        <w:t>Ensuring</w:t>
      </w:r>
      <w:r w:rsidR="00715CD8">
        <w:rPr>
          <w:sz w:val="24"/>
          <w:szCs w:val="24"/>
        </w:rPr>
        <w:t xml:space="preserve"> professionals can protect the public quickly through faster, more effective powers and proposals to speed up the eviction of the most anti-social tenants;</w:t>
      </w:r>
    </w:p>
    <w:p w:rsidR="00715CD8" w:rsidRDefault="00715CD8" w:rsidP="00715CD8">
      <w:pPr>
        <w:pStyle w:val="ListParagraph"/>
        <w:numPr>
          <w:ilvl w:val="0"/>
          <w:numId w:val="14"/>
        </w:numPr>
        <w:ind w:left="1560"/>
        <w:rPr>
          <w:sz w:val="24"/>
          <w:szCs w:val="24"/>
        </w:rPr>
      </w:pPr>
      <w:r>
        <w:rPr>
          <w:sz w:val="24"/>
          <w:szCs w:val="24"/>
        </w:rPr>
        <w:t>Extend</w:t>
      </w:r>
      <w:r w:rsidR="00A04370">
        <w:rPr>
          <w:sz w:val="24"/>
          <w:szCs w:val="24"/>
        </w:rPr>
        <w:t>ing</w:t>
      </w:r>
      <w:r>
        <w:rPr>
          <w:sz w:val="24"/>
          <w:szCs w:val="24"/>
        </w:rPr>
        <w:t xml:space="preserve"> the dangerous dogs legislation to private property; and,</w:t>
      </w:r>
    </w:p>
    <w:p w:rsidR="00715CD8" w:rsidRDefault="00A04370" w:rsidP="00715CD8">
      <w:pPr>
        <w:pStyle w:val="ListParagraph"/>
        <w:numPr>
          <w:ilvl w:val="0"/>
          <w:numId w:val="14"/>
        </w:numPr>
        <w:ind w:left="1560"/>
        <w:rPr>
          <w:sz w:val="24"/>
          <w:szCs w:val="24"/>
        </w:rPr>
      </w:pPr>
      <w:r>
        <w:rPr>
          <w:sz w:val="24"/>
          <w:szCs w:val="24"/>
        </w:rPr>
        <w:t>Making</w:t>
      </w:r>
      <w:r w:rsidR="00715CD8">
        <w:rPr>
          <w:sz w:val="24"/>
          <w:szCs w:val="24"/>
        </w:rPr>
        <w:t xml:space="preserve"> </w:t>
      </w:r>
      <w:r w:rsidR="006C5EDA">
        <w:rPr>
          <w:sz w:val="24"/>
          <w:szCs w:val="24"/>
        </w:rPr>
        <w:t xml:space="preserve">forced </w:t>
      </w:r>
      <w:r w:rsidR="00715CD8">
        <w:rPr>
          <w:sz w:val="24"/>
          <w:szCs w:val="24"/>
        </w:rPr>
        <w:t>marriage a criminal offence.</w:t>
      </w:r>
    </w:p>
    <w:p w:rsidR="00715CD8" w:rsidRPr="00715CD8" w:rsidRDefault="00715CD8" w:rsidP="00715CD8">
      <w:pPr>
        <w:pStyle w:val="ListParagraph"/>
        <w:ind w:left="709"/>
        <w:rPr>
          <w:sz w:val="24"/>
          <w:szCs w:val="24"/>
        </w:rPr>
      </w:pPr>
    </w:p>
    <w:p w:rsidR="00715CD8" w:rsidRDefault="00715CD8" w:rsidP="00715CD8">
      <w:pPr>
        <w:pStyle w:val="ListParagraph"/>
        <w:numPr>
          <w:ilvl w:val="1"/>
          <w:numId w:val="13"/>
        </w:numPr>
        <w:ind w:left="709" w:hanging="709"/>
        <w:rPr>
          <w:sz w:val="24"/>
          <w:szCs w:val="24"/>
        </w:rPr>
      </w:pPr>
      <w:r>
        <w:rPr>
          <w:sz w:val="24"/>
          <w:szCs w:val="24"/>
        </w:rPr>
        <w:t xml:space="preserve">It is recommended that </w:t>
      </w:r>
      <w:r w:rsidR="006C5EDA">
        <w:rPr>
          <w:sz w:val="24"/>
          <w:szCs w:val="24"/>
        </w:rPr>
        <w:t xml:space="preserve">the </w:t>
      </w:r>
      <w:r>
        <w:rPr>
          <w:sz w:val="24"/>
          <w:szCs w:val="24"/>
        </w:rPr>
        <w:t>Panel note</w:t>
      </w:r>
      <w:r w:rsidR="006C5EDA">
        <w:rPr>
          <w:sz w:val="24"/>
          <w:szCs w:val="24"/>
        </w:rPr>
        <w:t>s</w:t>
      </w:r>
      <w:r>
        <w:rPr>
          <w:sz w:val="24"/>
          <w:szCs w:val="24"/>
        </w:rPr>
        <w:t xml:space="preserve"> th</w:t>
      </w:r>
      <w:r w:rsidR="00B40621">
        <w:rPr>
          <w:sz w:val="24"/>
          <w:szCs w:val="24"/>
        </w:rPr>
        <w:t>e report for information</w:t>
      </w:r>
      <w:r w:rsidR="00DA087C">
        <w:rPr>
          <w:sz w:val="24"/>
          <w:szCs w:val="24"/>
        </w:rPr>
        <w:t xml:space="preserve"> as it provides a good overview of current changes on anti-social behaviour policy and possible further duties for Police and Crime Commissioners</w:t>
      </w:r>
      <w:r w:rsidR="00B40621">
        <w:rPr>
          <w:sz w:val="24"/>
          <w:szCs w:val="24"/>
        </w:rPr>
        <w:t xml:space="preserve">.  Subject to progress in Parliament, the </w:t>
      </w:r>
      <w:r w:rsidR="0005641B">
        <w:rPr>
          <w:sz w:val="24"/>
          <w:szCs w:val="24"/>
        </w:rPr>
        <w:t xml:space="preserve">Bill may offer a </w:t>
      </w:r>
      <w:r w:rsidR="00071A80">
        <w:rPr>
          <w:sz w:val="24"/>
          <w:szCs w:val="24"/>
        </w:rPr>
        <w:t xml:space="preserve">good opportunity for Panel to monitor the </w:t>
      </w:r>
      <w:r w:rsidR="005938AC">
        <w:rPr>
          <w:sz w:val="24"/>
          <w:szCs w:val="24"/>
        </w:rPr>
        <w:t xml:space="preserve">future </w:t>
      </w:r>
      <w:r w:rsidR="00071A80">
        <w:rPr>
          <w:sz w:val="24"/>
          <w:szCs w:val="24"/>
        </w:rPr>
        <w:t xml:space="preserve">impact of the Commissioner in galvanising a multi-agency approach to the Community Remedy. </w:t>
      </w:r>
    </w:p>
    <w:p w:rsidR="001F35E6" w:rsidRPr="00071A80" w:rsidRDefault="001F35E6">
      <w:pPr>
        <w:rPr>
          <w:sz w:val="20"/>
          <w:szCs w:val="20"/>
        </w:rPr>
      </w:pPr>
    </w:p>
    <w:p w:rsidR="00AA01B6" w:rsidRDefault="00715CD8">
      <w:pPr>
        <w:rPr>
          <w:b/>
          <w:sz w:val="24"/>
          <w:szCs w:val="24"/>
        </w:rPr>
      </w:pPr>
      <w:r>
        <w:rPr>
          <w:b/>
          <w:sz w:val="24"/>
          <w:szCs w:val="24"/>
        </w:rPr>
        <w:t>2.</w:t>
      </w:r>
      <w:r>
        <w:rPr>
          <w:b/>
          <w:sz w:val="24"/>
          <w:szCs w:val="24"/>
        </w:rPr>
        <w:tab/>
        <w:t xml:space="preserve">Details of the </w:t>
      </w:r>
      <w:r w:rsidR="0005641B">
        <w:rPr>
          <w:b/>
          <w:sz w:val="24"/>
          <w:szCs w:val="24"/>
        </w:rPr>
        <w:t>Bill</w:t>
      </w:r>
    </w:p>
    <w:p w:rsidR="00B94254" w:rsidRDefault="00B94254">
      <w:pPr>
        <w:rPr>
          <w:b/>
          <w:sz w:val="24"/>
          <w:szCs w:val="24"/>
        </w:rPr>
      </w:pPr>
    </w:p>
    <w:p w:rsidR="007F55FA" w:rsidRDefault="00B94254" w:rsidP="00C61D99">
      <w:pPr>
        <w:ind w:left="720" w:right="-188" w:hanging="720"/>
        <w:rPr>
          <w:sz w:val="24"/>
          <w:szCs w:val="24"/>
        </w:rPr>
      </w:pPr>
      <w:r>
        <w:rPr>
          <w:sz w:val="24"/>
          <w:szCs w:val="24"/>
        </w:rPr>
        <w:t>2.1</w:t>
      </w:r>
      <w:r>
        <w:rPr>
          <w:sz w:val="24"/>
          <w:szCs w:val="24"/>
        </w:rPr>
        <w:tab/>
      </w:r>
      <w:r w:rsidR="007F55FA">
        <w:rPr>
          <w:sz w:val="24"/>
          <w:szCs w:val="24"/>
        </w:rPr>
        <w:t>In addition to the reforms summarised in the table below, there are two important new measures to help focus the response to anti-social behaviour on the needs of victims:</w:t>
      </w:r>
    </w:p>
    <w:p w:rsidR="00B94254" w:rsidRDefault="007F55FA" w:rsidP="00C61D99">
      <w:pPr>
        <w:pStyle w:val="ListParagraph"/>
        <w:numPr>
          <w:ilvl w:val="0"/>
          <w:numId w:val="15"/>
        </w:numPr>
        <w:spacing w:before="120"/>
        <w:ind w:left="1559" w:hanging="357"/>
        <w:contextualSpacing w:val="0"/>
        <w:rPr>
          <w:sz w:val="24"/>
          <w:szCs w:val="24"/>
        </w:rPr>
      </w:pPr>
      <w:r>
        <w:rPr>
          <w:sz w:val="24"/>
          <w:szCs w:val="24"/>
        </w:rPr>
        <w:t xml:space="preserve">A </w:t>
      </w:r>
      <w:r w:rsidRPr="007F55FA">
        <w:rPr>
          <w:b/>
          <w:sz w:val="24"/>
          <w:szCs w:val="24"/>
        </w:rPr>
        <w:t>“Community Trigger”</w:t>
      </w:r>
      <w:r>
        <w:rPr>
          <w:sz w:val="24"/>
          <w:szCs w:val="24"/>
        </w:rPr>
        <w:t xml:space="preserve"> to give victims and communities the right to require agencies to deal with persistent anti-social behaviour that has previously been ignored. The trigger council </w:t>
      </w:r>
      <w:proofErr w:type="gramStart"/>
      <w:r>
        <w:rPr>
          <w:sz w:val="24"/>
          <w:szCs w:val="24"/>
        </w:rPr>
        <w:t>be</w:t>
      </w:r>
      <w:proofErr w:type="gramEnd"/>
      <w:r>
        <w:rPr>
          <w:sz w:val="24"/>
          <w:szCs w:val="24"/>
        </w:rPr>
        <w:t xml:space="preserve"> activated by a member of the public, a community or a business if repeated complaints about anti-social behaviour have been ignored. </w:t>
      </w:r>
    </w:p>
    <w:p w:rsidR="007F55FA" w:rsidRPr="007F55FA" w:rsidRDefault="007F55FA" w:rsidP="00C61D99">
      <w:pPr>
        <w:pStyle w:val="ListParagraph"/>
        <w:numPr>
          <w:ilvl w:val="0"/>
          <w:numId w:val="15"/>
        </w:numPr>
        <w:spacing w:before="120"/>
        <w:ind w:left="1559" w:hanging="357"/>
        <w:contextualSpacing w:val="0"/>
        <w:rPr>
          <w:sz w:val="24"/>
          <w:szCs w:val="24"/>
        </w:rPr>
      </w:pPr>
      <w:r>
        <w:rPr>
          <w:sz w:val="24"/>
          <w:szCs w:val="24"/>
        </w:rPr>
        <w:t xml:space="preserve">A </w:t>
      </w:r>
      <w:r w:rsidRPr="007F55FA">
        <w:rPr>
          <w:b/>
          <w:sz w:val="24"/>
          <w:szCs w:val="24"/>
        </w:rPr>
        <w:t>“Community Remedy”</w:t>
      </w:r>
      <w:r>
        <w:rPr>
          <w:sz w:val="24"/>
          <w:szCs w:val="24"/>
        </w:rPr>
        <w:t xml:space="preserve"> to give victims of low-level crime and anti-social behaviour a say in the punishment of offenders out of court. This means victims will get justice quickly and the offender has to face immediate and meaningful consequences for actions. </w:t>
      </w:r>
    </w:p>
    <w:p w:rsidR="00A04370" w:rsidRDefault="00A04370" w:rsidP="00F27EE2">
      <w:pPr>
        <w:rPr>
          <w:sz w:val="24"/>
          <w:szCs w:val="24"/>
        </w:rPr>
      </w:pPr>
    </w:p>
    <w:tbl>
      <w:tblPr>
        <w:tblStyle w:val="TableGrid"/>
        <w:tblW w:w="9747" w:type="dxa"/>
        <w:tblLook w:val="04A0" w:firstRow="1" w:lastRow="0" w:firstColumn="1" w:lastColumn="0" w:noHBand="0" w:noVBand="1"/>
      </w:tblPr>
      <w:tblGrid>
        <w:gridCol w:w="2660"/>
        <w:gridCol w:w="7087"/>
      </w:tblGrid>
      <w:tr w:rsidR="00B40621" w:rsidTr="007D56DD">
        <w:tc>
          <w:tcPr>
            <w:tcW w:w="2660" w:type="dxa"/>
          </w:tcPr>
          <w:p w:rsidR="00B40621" w:rsidRPr="006C51D6" w:rsidRDefault="00B40621" w:rsidP="00F27EE2">
            <w:pPr>
              <w:rPr>
                <w:sz w:val="24"/>
                <w:szCs w:val="24"/>
              </w:rPr>
            </w:pPr>
            <w:r w:rsidRPr="006C51D6">
              <w:rPr>
                <w:sz w:val="24"/>
                <w:szCs w:val="24"/>
              </w:rPr>
              <w:t xml:space="preserve">Part 1 – Injunctions to prevent nuisance and </w:t>
            </w:r>
            <w:r w:rsidRPr="006C51D6">
              <w:rPr>
                <w:sz w:val="24"/>
                <w:szCs w:val="24"/>
              </w:rPr>
              <w:lastRenderedPageBreak/>
              <w:t>annoyance (replacing ASBOs)</w:t>
            </w:r>
          </w:p>
        </w:tc>
        <w:tc>
          <w:tcPr>
            <w:tcW w:w="7087" w:type="dxa"/>
          </w:tcPr>
          <w:p w:rsidR="00B40621" w:rsidRPr="006C51D6" w:rsidRDefault="000618AA" w:rsidP="00EC202A">
            <w:pPr>
              <w:pStyle w:val="ListParagraph"/>
              <w:numPr>
                <w:ilvl w:val="0"/>
                <w:numId w:val="16"/>
              </w:numPr>
              <w:ind w:left="464"/>
              <w:rPr>
                <w:sz w:val="24"/>
                <w:szCs w:val="24"/>
              </w:rPr>
            </w:pPr>
            <w:r w:rsidRPr="006C51D6">
              <w:rPr>
                <w:sz w:val="24"/>
                <w:szCs w:val="24"/>
              </w:rPr>
              <w:lastRenderedPageBreak/>
              <w:t xml:space="preserve">Enables youth courts, county courts or the High Court to grant an injunction against anyone aged 10 or over where they have </w:t>
            </w:r>
            <w:r w:rsidRPr="006C51D6">
              <w:rPr>
                <w:sz w:val="24"/>
                <w:szCs w:val="24"/>
              </w:rPr>
              <w:lastRenderedPageBreak/>
              <w:t xml:space="preserve">engaged or threaten to engage in anti-social behaviour. </w:t>
            </w:r>
          </w:p>
          <w:p w:rsidR="000618AA" w:rsidRPr="006C51D6" w:rsidRDefault="000618AA" w:rsidP="00EC202A">
            <w:pPr>
              <w:pStyle w:val="ListParagraph"/>
              <w:numPr>
                <w:ilvl w:val="0"/>
                <w:numId w:val="16"/>
              </w:numPr>
              <w:ind w:left="464"/>
              <w:rPr>
                <w:sz w:val="24"/>
                <w:szCs w:val="24"/>
              </w:rPr>
            </w:pPr>
            <w:r w:rsidRPr="006C51D6">
              <w:rPr>
                <w:sz w:val="24"/>
                <w:szCs w:val="24"/>
              </w:rPr>
              <w:t xml:space="preserve">Anti-social behaviour is </w:t>
            </w:r>
            <w:r w:rsidR="00CC6A76" w:rsidRPr="006C51D6">
              <w:rPr>
                <w:sz w:val="24"/>
                <w:szCs w:val="24"/>
              </w:rPr>
              <w:t>defined</w:t>
            </w:r>
            <w:r w:rsidRPr="006C51D6">
              <w:rPr>
                <w:sz w:val="24"/>
                <w:szCs w:val="24"/>
              </w:rPr>
              <w:t xml:space="preserve"> as conduct </w:t>
            </w:r>
            <w:r w:rsidR="00CC6A76" w:rsidRPr="006C51D6">
              <w:rPr>
                <w:sz w:val="24"/>
                <w:szCs w:val="24"/>
              </w:rPr>
              <w:t>capable</w:t>
            </w:r>
            <w:r w:rsidRPr="006C51D6">
              <w:rPr>
                <w:sz w:val="24"/>
                <w:szCs w:val="24"/>
              </w:rPr>
              <w:t xml:space="preserve"> of causing nuisance or annoyance to any person. </w:t>
            </w:r>
          </w:p>
          <w:p w:rsidR="000618AA" w:rsidRPr="006C51D6" w:rsidRDefault="000618AA" w:rsidP="00EC202A">
            <w:pPr>
              <w:pStyle w:val="ListParagraph"/>
              <w:numPr>
                <w:ilvl w:val="0"/>
                <w:numId w:val="16"/>
              </w:numPr>
              <w:ind w:left="464"/>
              <w:rPr>
                <w:sz w:val="24"/>
                <w:szCs w:val="24"/>
              </w:rPr>
            </w:pPr>
            <w:r w:rsidRPr="006C51D6">
              <w:rPr>
                <w:sz w:val="24"/>
                <w:szCs w:val="24"/>
              </w:rPr>
              <w:t>Councils, housing providers, the Police and other agencies can all apply for injunctions.</w:t>
            </w:r>
          </w:p>
          <w:p w:rsidR="000618AA" w:rsidRPr="006C51D6" w:rsidRDefault="000618AA" w:rsidP="00EC202A">
            <w:pPr>
              <w:pStyle w:val="ListParagraph"/>
              <w:numPr>
                <w:ilvl w:val="0"/>
                <w:numId w:val="16"/>
              </w:numPr>
              <w:ind w:left="464"/>
              <w:rPr>
                <w:sz w:val="24"/>
                <w:szCs w:val="24"/>
              </w:rPr>
            </w:pPr>
            <w:r w:rsidRPr="006C51D6">
              <w:rPr>
                <w:sz w:val="24"/>
                <w:szCs w:val="24"/>
              </w:rPr>
              <w:t>The injunctions can be indefinite for adults (but must be time-limited for under-18s).</w:t>
            </w:r>
          </w:p>
          <w:p w:rsidR="000618AA" w:rsidRPr="006C51D6" w:rsidRDefault="000618AA" w:rsidP="00EC202A">
            <w:pPr>
              <w:pStyle w:val="ListParagraph"/>
              <w:numPr>
                <w:ilvl w:val="0"/>
                <w:numId w:val="16"/>
              </w:numPr>
              <w:ind w:left="464"/>
              <w:rPr>
                <w:sz w:val="24"/>
                <w:szCs w:val="24"/>
              </w:rPr>
            </w:pPr>
            <w:r w:rsidRPr="006C51D6">
              <w:rPr>
                <w:sz w:val="24"/>
                <w:szCs w:val="24"/>
              </w:rPr>
              <w:t>Any requireme</w:t>
            </w:r>
            <w:r w:rsidR="00CC6A76" w:rsidRPr="006C51D6">
              <w:rPr>
                <w:sz w:val="24"/>
                <w:szCs w:val="24"/>
              </w:rPr>
              <w:t xml:space="preserve">nts in the injunction must specify who is responsible for supervising compliance. </w:t>
            </w:r>
            <w:r w:rsidRPr="006C51D6">
              <w:rPr>
                <w:sz w:val="24"/>
                <w:szCs w:val="24"/>
              </w:rPr>
              <w:t xml:space="preserve"> </w:t>
            </w:r>
          </w:p>
          <w:p w:rsidR="000618AA" w:rsidRPr="006C51D6" w:rsidRDefault="000618AA" w:rsidP="00EC202A">
            <w:pPr>
              <w:pStyle w:val="ListParagraph"/>
              <w:numPr>
                <w:ilvl w:val="0"/>
                <w:numId w:val="16"/>
              </w:numPr>
              <w:ind w:left="464"/>
              <w:rPr>
                <w:sz w:val="24"/>
                <w:szCs w:val="24"/>
              </w:rPr>
            </w:pPr>
            <w:r w:rsidRPr="006C51D6">
              <w:rPr>
                <w:sz w:val="24"/>
                <w:szCs w:val="24"/>
              </w:rPr>
              <w:t>Injunctions can prohibit activity and/or require positive activity.</w:t>
            </w:r>
          </w:p>
          <w:p w:rsidR="00CC6A76" w:rsidRPr="006C51D6" w:rsidRDefault="00CC6A76" w:rsidP="00EC202A">
            <w:pPr>
              <w:pStyle w:val="ListParagraph"/>
              <w:numPr>
                <w:ilvl w:val="0"/>
                <w:numId w:val="16"/>
              </w:numPr>
              <w:ind w:left="464"/>
              <w:rPr>
                <w:sz w:val="24"/>
                <w:szCs w:val="24"/>
              </w:rPr>
            </w:pPr>
            <w:r w:rsidRPr="006C51D6">
              <w:rPr>
                <w:sz w:val="24"/>
                <w:szCs w:val="24"/>
              </w:rPr>
              <w:t xml:space="preserve">A power of arrest can be attached to any prohibition or requirement in the injunction if the </w:t>
            </w:r>
            <w:r w:rsidR="00EC202A" w:rsidRPr="006C51D6">
              <w:rPr>
                <w:sz w:val="24"/>
                <w:szCs w:val="24"/>
              </w:rPr>
              <w:t xml:space="preserve">respondent has engaged in violence or the </w:t>
            </w:r>
            <w:r w:rsidRPr="006C51D6">
              <w:rPr>
                <w:sz w:val="24"/>
                <w:szCs w:val="24"/>
              </w:rPr>
              <w:t xml:space="preserve">court believes there is </w:t>
            </w:r>
            <w:r w:rsidR="00EC202A" w:rsidRPr="006C51D6">
              <w:rPr>
                <w:sz w:val="24"/>
                <w:szCs w:val="24"/>
              </w:rPr>
              <w:t>significant risk of harm to others.  Where the power of arrest has been exercised, the court can either remand the person in custody or bail them.</w:t>
            </w:r>
            <w:r w:rsidRPr="006C51D6">
              <w:rPr>
                <w:sz w:val="24"/>
                <w:szCs w:val="24"/>
              </w:rPr>
              <w:t xml:space="preserve"> </w:t>
            </w:r>
          </w:p>
          <w:p w:rsidR="000618AA" w:rsidRPr="006C51D6" w:rsidRDefault="000618AA" w:rsidP="00EC202A">
            <w:pPr>
              <w:pStyle w:val="ListParagraph"/>
              <w:numPr>
                <w:ilvl w:val="0"/>
                <w:numId w:val="16"/>
              </w:numPr>
              <w:ind w:left="464"/>
              <w:rPr>
                <w:sz w:val="24"/>
                <w:szCs w:val="24"/>
              </w:rPr>
            </w:pPr>
            <w:r w:rsidRPr="006C51D6">
              <w:rPr>
                <w:sz w:val="24"/>
                <w:szCs w:val="24"/>
              </w:rPr>
              <w:t xml:space="preserve">Councils and social housing providers can apply for ‘tenancy injunctions’ where tenants have breached their tenancy agreement by engaging or threatening to engage in anti-social behaviour. </w:t>
            </w:r>
          </w:p>
        </w:tc>
      </w:tr>
      <w:tr w:rsidR="00B40621" w:rsidTr="007D56DD">
        <w:tc>
          <w:tcPr>
            <w:tcW w:w="2660" w:type="dxa"/>
          </w:tcPr>
          <w:p w:rsidR="00B40621" w:rsidRPr="006C51D6" w:rsidRDefault="00B40621" w:rsidP="00F27EE2">
            <w:pPr>
              <w:rPr>
                <w:sz w:val="24"/>
                <w:szCs w:val="24"/>
              </w:rPr>
            </w:pPr>
            <w:r w:rsidRPr="006C51D6">
              <w:rPr>
                <w:sz w:val="24"/>
                <w:szCs w:val="24"/>
              </w:rPr>
              <w:lastRenderedPageBreak/>
              <w:t>Part 2 – Criminal Behaviour Orders</w:t>
            </w:r>
          </w:p>
        </w:tc>
        <w:tc>
          <w:tcPr>
            <w:tcW w:w="7087" w:type="dxa"/>
          </w:tcPr>
          <w:p w:rsidR="00B40621" w:rsidRPr="006C51D6" w:rsidRDefault="00EC202A" w:rsidP="00EC202A">
            <w:pPr>
              <w:pStyle w:val="ListParagraph"/>
              <w:numPr>
                <w:ilvl w:val="0"/>
                <w:numId w:val="17"/>
              </w:numPr>
              <w:ind w:left="464"/>
              <w:rPr>
                <w:sz w:val="24"/>
                <w:szCs w:val="24"/>
              </w:rPr>
            </w:pPr>
            <w:r w:rsidRPr="006C51D6">
              <w:rPr>
                <w:sz w:val="24"/>
                <w:szCs w:val="24"/>
              </w:rPr>
              <w:t>Courts can grant these orders on application by the prosecution where an offender has been convicted or been given a conditional discharge.</w:t>
            </w:r>
          </w:p>
          <w:p w:rsidR="00EC202A" w:rsidRPr="006C51D6" w:rsidRDefault="00EC202A" w:rsidP="00EC202A">
            <w:pPr>
              <w:pStyle w:val="ListParagraph"/>
              <w:numPr>
                <w:ilvl w:val="0"/>
                <w:numId w:val="17"/>
              </w:numPr>
              <w:ind w:left="464"/>
              <w:rPr>
                <w:sz w:val="24"/>
                <w:szCs w:val="24"/>
              </w:rPr>
            </w:pPr>
            <w:r w:rsidRPr="006C51D6">
              <w:rPr>
                <w:sz w:val="24"/>
                <w:szCs w:val="24"/>
              </w:rPr>
              <w:t xml:space="preserve">These orders can prohibit certain behaviour or require the offender to undertake positive activities. </w:t>
            </w:r>
          </w:p>
          <w:p w:rsidR="00EC202A" w:rsidRPr="006C51D6" w:rsidRDefault="00EC202A" w:rsidP="00EC202A">
            <w:pPr>
              <w:pStyle w:val="ListParagraph"/>
              <w:numPr>
                <w:ilvl w:val="0"/>
                <w:numId w:val="17"/>
              </w:numPr>
              <w:ind w:left="464"/>
              <w:rPr>
                <w:sz w:val="24"/>
                <w:szCs w:val="24"/>
              </w:rPr>
            </w:pPr>
            <w:r w:rsidRPr="006C51D6">
              <w:rPr>
                <w:sz w:val="24"/>
                <w:szCs w:val="24"/>
              </w:rPr>
              <w:t xml:space="preserve">Any requirements in the injunction must specify who is responsible for supervising compliance, similar to the injunctions in Part 1.  </w:t>
            </w:r>
          </w:p>
          <w:p w:rsidR="00EC202A" w:rsidRPr="006C51D6" w:rsidRDefault="00EC202A" w:rsidP="00EC202A">
            <w:pPr>
              <w:pStyle w:val="ListParagraph"/>
              <w:numPr>
                <w:ilvl w:val="0"/>
                <w:numId w:val="17"/>
              </w:numPr>
              <w:ind w:left="464"/>
              <w:rPr>
                <w:sz w:val="24"/>
                <w:szCs w:val="24"/>
              </w:rPr>
            </w:pPr>
            <w:r w:rsidRPr="006C51D6">
              <w:rPr>
                <w:sz w:val="24"/>
                <w:szCs w:val="24"/>
              </w:rPr>
              <w:t>The prosecution has to consult the youth offending team before seeking an order against someone under 18.</w:t>
            </w:r>
          </w:p>
          <w:p w:rsidR="00EC202A" w:rsidRPr="006C51D6" w:rsidRDefault="00603A5E" w:rsidP="00603A5E">
            <w:pPr>
              <w:pStyle w:val="ListParagraph"/>
              <w:numPr>
                <w:ilvl w:val="0"/>
                <w:numId w:val="17"/>
              </w:numPr>
              <w:ind w:left="464"/>
              <w:rPr>
                <w:sz w:val="24"/>
                <w:szCs w:val="24"/>
              </w:rPr>
            </w:pPr>
            <w:r w:rsidRPr="006C51D6">
              <w:rPr>
                <w:sz w:val="24"/>
                <w:szCs w:val="24"/>
              </w:rPr>
              <w:t>Breach of an Order is an offence punishable on summary conviction by up to six months in prison or a fine, or both. Where someone is convicted of breaching an order, the court cannot grant a conditional discharge.</w:t>
            </w:r>
          </w:p>
        </w:tc>
      </w:tr>
      <w:tr w:rsidR="00B40621" w:rsidTr="007D56DD">
        <w:tc>
          <w:tcPr>
            <w:tcW w:w="2660" w:type="dxa"/>
          </w:tcPr>
          <w:p w:rsidR="00B40621" w:rsidRPr="006C51D6" w:rsidRDefault="00B40621" w:rsidP="00F27EE2">
            <w:pPr>
              <w:rPr>
                <w:sz w:val="24"/>
                <w:szCs w:val="24"/>
              </w:rPr>
            </w:pPr>
            <w:r w:rsidRPr="006C51D6">
              <w:rPr>
                <w:sz w:val="24"/>
                <w:szCs w:val="24"/>
              </w:rPr>
              <w:t>Part 3 – Dispersal Powers</w:t>
            </w:r>
          </w:p>
        </w:tc>
        <w:tc>
          <w:tcPr>
            <w:tcW w:w="7087" w:type="dxa"/>
          </w:tcPr>
          <w:p w:rsidR="005E0FAE" w:rsidRPr="006C51D6" w:rsidRDefault="00603A5E" w:rsidP="005E0FAE">
            <w:pPr>
              <w:pStyle w:val="ListParagraph"/>
              <w:numPr>
                <w:ilvl w:val="0"/>
                <w:numId w:val="18"/>
              </w:numPr>
              <w:ind w:left="464"/>
              <w:rPr>
                <w:sz w:val="24"/>
                <w:szCs w:val="24"/>
              </w:rPr>
            </w:pPr>
            <w:r w:rsidRPr="006C51D6">
              <w:rPr>
                <w:sz w:val="24"/>
                <w:szCs w:val="24"/>
              </w:rPr>
              <w:t xml:space="preserve">Dispersal powers allow police officers (at least the rank of Inspector) to authorise </w:t>
            </w:r>
            <w:r w:rsidR="005E0FAE" w:rsidRPr="006C51D6">
              <w:rPr>
                <w:sz w:val="24"/>
                <w:szCs w:val="24"/>
              </w:rPr>
              <w:t>the use in a specified locality of dispersal powers for a maximum of 48hours, provided that doing so will reduce or remove the likelihood of people being harassed, alarmed or distressed or of crime and disorder occurring.</w:t>
            </w:r>
          </w:p>
          <w:p w:rsidR="005657D4" w:rsidRPr="006C51D6" w:rsidRDefault="005E0FAE" w:rsidP="005E0FAE">
            <w:pPr>
              <w:pStyle w:val="ListParagraph"/>
              <w:numPr>
                <w:ilvl w:val="0"/>
                <w:numId w:val="18"/>
              </w:numPr>
              <w:ind w:left="464"/>
              <w:rPr>
                <w:sz w:val="24"/>
                <w:szCs w:val="24"/>
              </w:rPr>
            </w:pPr>
            <w:r w:rsidRPr="006C51D6">
              <w:rPr>
                <w:sz w:val="24"/>
                <w:szCs w:val="24"/>
              </w:rPr>
              <w:t xml:space="preserve">Where an authorisation is in force, a police officer or PCSO </w:t>
            </w:r>
            <w:r w:rsidR="005657D4" w:rsidRPr="006C51D6">
              <w:rPr>
                <w:sz w:val="24"/>
                <w:szCs w:val="24"/>
              </w:rPr>
              <w:t>can direct people to leave a public place, provided the officer has reasonable ground for suspecting the person will result in people being harassed, alarmed or distressed. Officers must, if possible, put this in writing and record to whom they have given a direction, when and its terms</w:t>
            </w:r>
            <w:r w:rsidRPr="006C51D6">
              <w:rPr>
                <w:sz w:val="24"/>
                <w:szCs w:val="24"/>
              </w:rPr>
              <w:t>.</w:t>
            </w:r>
          </w:p>
          <w:p w:rsidR="00B40621" w:rsidRPr="006C51D6" w:rsidRDefault="005657D4" w:rsidP="005E0FAE">
            <w:pPr>
              <w:pStyle w:val="ListParagraph"/>
              <w:numPr>
                <w:ilvl w:val="0"/>
                <w:numId w:val="18"/>
              </w:numPr>
              <w:ind w:left="464"/>
              <w:rPr>
                <w:sz w:val="24"/>
                <w:szCs w:val="24"/>
              </w:rPr>
            </w:pPr>
            <w:r w:rsidRPr="006C51D6">
              <w:rPr>
                <w:sz w:val="24"/>
                <w:szCs w:val="24"/>
              </w:rPr>
              <w:t xml:space="preserve">Failure to comply with a direction to leave is an offence liable on summary conviction to up to three months in prison or a fine. </w:t>
            </w:r>
            <w:r w:rsidR="005E0FAE" w:rsidRPr="006C51D6">
              <w:rPr>
                <w:sz w:val="24"/>
                <w:szCs w:val="24"/>
              </w:rPr>
              <w:t xml:space="preserve"> </w:t>
            </w:r>
          </w:p>
        </w:tc>
      </w:tr>
      <w:tr w:rsidR="00B40621" w:rsidTr="007D56DD">
        <w:tc>
          <w:tcPr>
            <w:tcW w:w="2660" w:type="dxa"/>
          </w:tcPr>
          <w:p w:rsidR="00B40621" w:rsidRPr="006C51D6" w:rsidRDefault="00B40621" w:rsidP="00F27EE2">
            <w:pPr>
              <w:rPr>
                <w:sz w:val="24"/>
                <w:szCs w:val="24"/>
              </w:rPr>
            </w:pPr>
            <w:r w:rsidRPr="006C51D6">
              <w:rPr>
                <w:sz w:val="24"/>
                <w:szCs w:val="24"/>
              </w:rPr>
              <w:lastRenderedPageBreak/>
              <w:t>Part 4 – Community Protection</w:t>
            </w:r>
            <w:r w:rsidR="00BA6CE8" w:rsidRPr="006C51D6">
              <w:rPr>
                <w:sz w:val="24"/>
                <w:szCs w:val="24"/>
              </w:rPr>
              <w:t xml:space="preserve"> Notices</w:t>
            </w: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Pr="006C51D6" w:rsidRDefault="004204E9" w:rsidP="00F27EE2">
            <w:pPr>
              <w:rPr>
                <w:sz w:val="24"/>
                <w:szCs w:val="24"/>
              </w:rPr>
            </w:pPr>
          </w:p>
          <w:p w:rsidR="004204E9" w:rsidRDefault="004204E9" w:rsidP="00F27EE2">
            <w:pPr>
              <w:rPr>
                <w:sz w:val="24"/>
                <w:szCs w:val="24"/>
              </w:rPr>
            </w:pPr>
          </w:p>
          <w:p w:rsidR="006C51D6" w:rsidRPr="006C51D6" w:rsidRDefault="006C51D6" w:rsidP="00F27EE2">
            <w:pPr>
              <w:rPr>
                <w:sz w:val="24"/>
                <w:szCs w:val="24"/>
              </w:rPr>
            </w:pPr>
          </w:p>
          <w:p w:rsidR="004204E9" w:rsidRPr="006C51D6" w:rsidRDefault="004204E9" w:rsidP="00F27EE2">
            <w:pPr>
              <w:rPr>
                <w:sz w:val="24"/>
                <w:szCs w:val="24"/>
              </w:rPr>
            </w:pPr>
            <w:r w:rsidRPr="006C51D6">
              <w:rPr>
                <w:sz w:val="24"/>
                <w:szCs w:val="24"/>
              </w:rPr>
              <w:t>Closure Notices and Orders</w:t>
            </w:r>
          </w:p>
        </w:tc>
        <w:tc>
          <w:tcPr>
            <w:tcW w:w="7087" w:type="dxa"/>
          </w:tcPr>
          <w:p w:rsidR="00BA6CE8" w:rsidRPr="006C51D6" w:rsidRDefault="00BA6CE8" w:rsidP="00BA6CE8">
            <w:pPr>
              <w:pStyle w:val="ListParagraph"/>
              <w:numPr>
                <w:ilvl w:val="0"/>
                <w:numId w:val="19"/>
              </w:numPr>
              <w:ind w:left="459"/>
              <w:rPr>
                <w:sz w:val="24"/>
                <w:szCs w:val="24"/>
              </w:rPr>
            </w:pPr>
            <w:r w:rsidRPr="006C51D6">
              <w:rPr>
                <w:sz w:val="24"/>
                <w:szCs w:val="24"/>
              </w:rPr>
              <w:t>Community Protection Notices are designed to deal with particular, on-going instances of environmental anti-social behaviour. They can be used against individuals over 16, businesses or organisations and issued by the police, council officers or the staff of social housing providers.</w:t>
            </w:r>
          </w:p>
          <w:p w:rsidR="00BA6CE8" w:rsidRPr="006C51D6" w:rsidRDefault="00BA6CE8" w:rsidP="00BA6CE8">
            <w:pPr>
              <w:pStyle w:val="ListParagraph"/>
              <w:numPr>
                <w:ilvl w:val="0"/>
                <w:numId w:val="19"/>
              </w:numPr>
              <w:ind w:left="459"/>
              <w:rPr>
                <w:sz w:val="24"/>
                <w:szCs w:val="24"/>
              </w:rPr>
            </w:pPr>
            <w:r w:rsidRPr="006C51D6">
              <w:rPr>
                <w:sz w:val="24"/>
                <w:szCs w:val="24"/>
              </w:rPr>
              <w:t>In issuing the notice, there must be belief that behaviour is detrimental to the local community’s quality of life, is unreasonable and having a detrimental effect. They can be issued even where the behaviour takes place on premises owned, leased or controlled by the person responsible for the behaviour.</w:t>
            </w:r>
          </w:p>
          <w:p w:rsidR="00BA6CE8" w:rsidRPr="006C51D6" w:rsidRDefault="00BA6CE8" w:rsidP="00BA6CE8">
            <w:pPr>
              <w:pStyle w:val="ListParagraph"/>
              <w:numPr>
                <w:ilvl w:val="0"/>
                <w:numId w:val="19"/>
              </w:numPr>
              <w:ind w:left="459"/>
              <w:rPr>
                <w:sz w:val="24"/>
                <w:szCs w:val="24"/>
              </w:rPr>
            </w:pPr>
            <w:r w:rsidRPr="006C51D6">
              <w:rPr>
                <w:sz w:val="24"/>
                <w:szCs w:val="24"/>
              </w:rPr>
              <w:t>A Notice can only be given if the individual or body has already been warned they must cease their behaviour and can be appealed by going to a Magistrate’s court.</w:t>
            </w:r>
          </w:p>
          <w:p w:rsidR="00BA6CE8" w:rsidRPr="006C51D6" w:rsidRDefault="00BA6CE8" w:rsidP="00BA6CE8">
            <w:pPr>
              <w:pStyle w:val="ListParagraph"/>
              <w:numPr>
                <w:ilvl w:val="0"/>
                <w:numId w:val="19"/>
              </w:numPr>
              <w:ind w:left="459"/>
              <w:rPr>
                <w:sz w:val="24"/>
                <w:szCs w:val="24"/>
              </w:rPr>
            </w:pPr>
            <w:r w:rsidRPr="006C51D6">
              <w:rPr>
                <w:sz w:val="24"/>
                <w:szCs w:val="24"/>
              </w:rPr>
              <w:t xml:space="preserve">The Notices impose requirements to either: stop doing something; do something specific or take reasonable steps to achieve a specified result. </w:t>
            </w:r>
          </w:p>
          <w:p w:rsidR="00B40621" w:rsidRPr="006C51D6" w:rsidRDefault="00BA6CE8" w:rsidP="00BA6CE8">
            <w:pPr>
              <w:pStyle w:val="ListParagraph"/>
              <w:numPr>
                <w:ilvl w:val="0"/>
                <w:numId w:val="19"/>
              </w:numPr>
              <w:ind w:left="459"/>
              <w:rPr>
                <w:sz w:val="24"/>
                <w:szCs w:val="24"/>
              </w:rPr>
            </w:pPr>
            <w:r w:rsidRPr="006C51D6">
              <w:rPr>
                <w:sz w:val="24"/>
                <w:szCs w:val="24"/>
              </w:rPr>
              <w:t>Breach of a Notice is a criminal offence and guilty parties will be subject to a fine.  As an alternative to prosecutions, police and councils can issue fixed penalty notices</w:t>
            </w:r>
            <w:r w:rsidR="004204E9" w:rsidRPr="006C51D6">
              <w:rPr>
                <w:sz w:val="24"/>
                <w:szCs w:val="24"/>
              </w:rPr>
              <w:t xml:space="preserve"> of not more than £100.</w:t>
            </w:r>
          </w:p>
          <w:p w:rsidR="004204E9" w:rsidRPr="006C51D6" w:rsidRDefault="004204E9" w:rsidP="004204E9">
            <w:pPr>
              <w:pStyle w:val="ListParagraph"/>
              <w:ind w:left="459"/>
              <w:rPr>
                <w:sz w:val="24"/>
                <w:szCs w:val="24"/>
              </w:rPr>
            </w:pPr>
          </w:p>
          <w:p w:rsidR="00D53CB8" w:rsidRPr="006C51D6" w:rsidRDefault="004204E9" w:rsidP="00D53CB8">
            <w:pPr>
              <w:pStyle w:val="ListParagraph"/>
              <w:numPr>
                <w:ilvl w:val="0"/>
                <w:numId w:val="19"/>
              </w:numPr>
              <w:ind w:left="459"/>
              <w:rPr>
                <w:sz w:val="24"/>
                <w:szCs w:val="24"/>
              </w:rPr>
            </w:pPr>
            <w:r w:rsidRPr="006C51D6">
              <w:rPr>
                <w:sz w:val="24"/>
                <w:szCs w:val="24"/>
              </w:rPr>
              <w:t>A closure notice prohibits access to the</w:t>
            </w:r>
            <w:r w:rsidR="00D53CB8" w:rsidRPr="006C51D6">
              <w:rPr>
                <w:sz w:val="24"/>
                <w:szCs w:val="24"/>
              </w:rPr>
              <w:t xml:space="preserve"> premises for a specified period of up to 48 hours</w:t>
            </w:r>
            <w:r w:rsidRPr="006C51D6">
              <w:rPr>
                <w:sz w:val="24"/>
                <w:szCs w:val="24"/>
              </w:rPr>
              <w:t>.</w:t>
            </w:r>
            <w:r w:rsidR="00D53CB8" w:rsidRPr="006C51D6">
              <w:rPr>
                <w:sz w:val="24"/>
                <w:szCs w:val="24"/>
              </w:rPr>
              <w:t xml:space="preserve"> A closure order prohibits access to a premise for up to three months. </w:t>
            </w:r>
          </w:p>
          <w:p w:rsidR="004204E9" w:rsidRPr="006C51D6" w:rsidRDefault="00D53CB8" w:rsidP="00BA6CE8">
            <w:pPr>
              <w:pStyle w:val="ListParagraph"/>
              <w:numPr>
                <w:ilvl w:val="0"/>
                <w:numId w:val="19"/>
              </w:numPr>
              <w:ind w:left="459"/>
              <w:rPr>
                <w:sz w:val="24"/>
                <w:szCs w:val="24"/>
              </w:rPr>
            </w:pPr>
            <w:r w:rsidRPr="006C51D6">
              <w:rPr>
                <w:sz w:val="24"/>
                <w:szCs w:val="24"/>
              </w:rPr>
              <w:t xml:space="preserve">A local authority or police officer (at least Inspector) can issue closure notices.  Applications for closure orders must be heard by Magistrates. </w:t>
            </w:r>
          </w:p>
          <w:p w:rsidR="00D53CB8" w:rsidRPr="006C51D6" w:rsidRDefault="00D53CB8" w:rsidP="007F47E9">
            <w:pPr>
              <w:pStyle w:val="ListParagraph"/>
              <w:numPr>
                <w:ilvl w:val="0"/>
                <w:numId w:val="19"/>
              </w:numPr>
              <w:ind w:left="459"/>
              <w:rPr>
                <w:sz w:val="24"/>
                <w:szCs w:val="24"/>
              </w:rPr>
            </w:pPr>
            <w:r w:rsidRPr="006C51D6">
              <w:rPr>
                <w:sz w:val="24"/>
                <w:szCs w:val="24"/>
              </w:rPr>
              <w:t>A</w:t>
            </w:r>
            <w:r w:rsidR="007F47E9" w:rsidRPr="006C51D6">
              <w:rPr>
                <w:sz w:val="24"/>
                <w:szCs w:val="24"/>
              </w:rPr>
              <w:t xml:space="preserve">nyone guilty of accessing a premise subject to a closure </w:t>
            </w:r>
            <w:r w:rsidRPr="006C51D6">
              <w:rPr>
                <w:sz w:val="24"/>
                <w:szCs w:val="24"/>
              </w:rPr>
              <w:t xml:space="preserve">order </w:t>
            </w:r>
            <w:r w:rsidR="007F47E9" w:rsidRPr="006C51D6">
              <w:rPr>
                <w:sz w:val="24"/>
                <w:szCs w:val="24"/>
              </w:rPr>
              <w:t xml:space="preserve">is punishable by up to 51 weeks imprisonment or a fine; a breach of a closure notice is punishable by up to three months in prison or a fine.  </w:t>
            </w:r>
          </w:p>
        </w:tc>
      </w:tr>
      <w:tr w:rsidR="00B40621" w:rsidTr="007D56DD">
        <w:tc>
          <w:tcPr>
            <w:tcW w:w="2660" w:type="dxa"/>
          </w:tcPr>
          <w:p w:rsidR="00B40621" w:rsidRPr="006C51D6" w:rsidRDefault="00B40621" w:rsidP="00F27EE2">
            <w:pPr>
              <w:rPr>
                <w:sz w:val="24"/>
                <w:szCs w:val="24"/>
              </w:rPr>
            </w:pPr>
            <w:r w:rsidRPr="006C51D6">
              <w:rPr>
                <w:sz w:val="24"/>
                <w:szCs w:val="24"/>
              </w:rPr>
              <w:t>Part 5 – Recovery of possession of dwellings: anti-social behaviour grounds</w:t>
            </w:r>
          </w:p>
        </w:tc>
        <w:tc>
          <w:tcPr>
            <w:tcW w:w="7087" w:type="dxa"/>
          </w:tcPr>
          <w:p w:rsidR="00B40621" w:rsidRPr="006C51D6" w:rsidRDefault="008C150D" w:rsidP="008C150D">
            <w:pPr>
              <w:pStyle w:val="ListParagraph"/>
              <w:numPr>
                <w:ilvl w:val="0"/>
                <w:numId w:val="20"/>
              </w:numPr>
              <w:ind w:left="459"/>
              <w:rPr>
                <w:sz w:val="24"/>
                <w:szCs w:val="24"/>
              </w:rPr>
            </w:pPr>
            <w:r w:rsidRPr="006C51D6">
              <w:rPr>
                <w:sz w:val="24"/>
                <w:szCs w:val="24"/>
              </w:rPr>
              <w:t>This seeks to amend the Housing Acts of 1985 and 1988 so that if it is proved the tenant has been involved in anti-social behaviour</w:t>
            </w:r>
            <w:proofErr w:type="gramStart"/>
            <w:r w:rsidRPr="006C51D6">
              <w:rPr>
                <w:sz w:val="24"/>
                <w:szCs w:val="24"/>
              </w:rPr>
              <w:t>,</w:t>
            </w:r>
            <w:proofErr w:type="gramEnd"/>
            <w:r w:rsidRPr="006C51D6">
              <w:rPr>
                <w:sz w:val="24"/>
                <w:szCs w:val="24"/>
              </w:rPr>
              <w:t xml:space="preserve"> then the court must evict them. </w:t>
            </w:r>
          </w:p>
        </w:tc>
      </w:tr>
      <w:tr w:rsidR="00B40621" w:rsidTr="007D56DD">
        <w:tc>
          <w:tcPr>
            <w:tcW w:w="2660" w:type="dxa"/>
          </w:tcPr>
          <w:p w:rsidR="00B40621" w:rsidRPr="006C51D6" w:rsidRDefault="00B40621" w:rsidP="00F27EE2">
            <w:pPr>
              <w:rPr>
                <w:sz w:val="24"/>
                <w:szCs w:val="24"/>
              </w:rPr>
            </w:pPr>
            <w:r w:rsidRPr="006C51D6">
              <w:rPr>
                <w:sz w:val="24"/>
                <w:szCs w:val="24"/>
              </w:rPr>
              <w:t>Part 6 – Local involvement and accountability</w:t>
            </w:r>
          </w:p>
        </w:tc>
        <w:tc>
          <w:tcPr>
            <w:tcW w:w="7087" w:type="dxa"/>
          </w:tcPr>
          <w:p w:rsidR="00B40621" w:rsidRPr="006C51D6" w:rsidRDefault="00D1419B" w:rsidP="008C150D">
            <w:pPr>
              <w:pStyle w:val="ListParagraph"/>
              <w:numPr>
                <w:ilvl w:val="0"/>
                <w:numId w:val="20"/>
              </w:numPr>
              <w:ind w:left="459"/>
              <w:rPr>
                <w:sz w:val="24"/>
                <w:szCs w:val="24"/>
              </w:rPr>
            </w:pPr>
            <w:r w:rsidRPr="006C51D6">
              <w:rPr>
                <w:sz w:val="24"/>
                <w:szCs w:val="24"/>
              </w:rPr>
              <w:t>Police and Crime Commissioners will be required to consult, prepare and publish a community remedy document for their force area.</w:t>
            </w:r>
          </w:p>
          <w:p w:rsidR="00D1419B" w:rsidRPr="006C51D6" w:rsidRDefault="00D1419B" w:rsidP="008C150D">
            <w:pPr>
              <w:pStyle w:val="ListParagraph"/>
              <w:numPr>
                <w:ilvl w:val="0"/>
                <w:numId w:val="20"/>
              </w:numPr>
              <w:ind w:left="459"/>
              <w:rPr>
                <w:sz w:val="24"/>
                <w:szCs w:val="24"/>
              </w:rPr>
            </w:pPr>
            <w:r w:rsidRPr="006C51D6">
              <w:rPr>
                <w:sz w:val="24"/>
                <w:szCs w:val="24"/>
              </w:rPr>
              <w:t>This will set out what reasonable and proportionate ‘punishment’ they think it would be appropriate for an offender to undertake where there is an out of court disposal.</w:t>
            </w:r>
          </w:p>
          <w:p w:rsidR="00D1419B" w:rsidRPr="006C51D6" w:rsidRDefault="00D1419B" w:rsidP="008C150D">
            <w:pPr>
              <w:pStyle w:val="ListParagraph"/>
              <w:numPr>
                <w:ilvl w:val="0"/>
                <w:numId w:val="20"/>
              </w:numPr>
              <w:ind w:left="459"/>
              <w:rPr>
                <w:sz w:val="24"/>
                <w:szCs w:val="24"/>
              </w:rPr>
            </w:pPr>
            <w:r w:rsidRPr="006C51D6">
              <w:rPr>
                <w:sz w:val="24"/>
                <w:szCs w:val="24"/>
              </w:rPr>
              <w:t xml:space="preserve">A duty is implied for councils, the police, health providers and social housing providers to set up a community trigger mechanism (with a nationally-set threshold of three complaints) to carry out a review of the response to anti-social behaviour. </w:t>
            </w:r>
          </w:p>
          <w:p w:rsidR="00D1419B" w:rsidRPr="006C51D6" w:rsidRDefault="006953D2" w:rsidP="008C150D">
            <w:pPr>
              <w:pStyle w:val="ListParagraph"/>
              <w:numPr>
                <w:ilvl w:val="0"/>
                <w:numId w:val="20"/>
              </w:numPr>
              <w:ind w:left="459"/>
              <w:rPr>
                <w:sz w:val="24"/>
                <w:szCs w:val="24"/>
              </w:rPr>
            </w:pPr>
            <w:r w:rsidRPr="006C51D6">
              <w:rPr>
                <w:sz w:val="24"/>
                <w:szCs w:val="24"/>
              </w:rPr>
              <w:t xml:space="preserve">Any public body cited in the recommendations from the review must have regard to the recommendation. </w:t>
            </w:r>
          </w:p>
          <w:p w:rsidR="006953D2" w:rsidRPr="006C51D6" w:rsidRDefault="006953D2" w:rsidP="008C150D">
            <w:pPr>
              <w:pStyle w:val="ListParagraph"/>
              <w:numPr>
                <w:ilvl w:val="0"/>
                <w:numId w:val="20"/>
              </w:numPr>
              <w:ind w:left="459"/>
              <w:rPr>
                <w:sz w:val="24"/>
                <w:szCs w:val="24"/>
              </w:rPr>
            </w:pPr>
            <w:r w:rsidRPr="006C51D6">
              <w:rPr>
                <w:sz w:val="24"/>
                <w:szCs w:val="24"/>
              </w:rPr>
              <w:lastRenderedPageBreak/>
              <w:t>Information has to be published about the number of applications and number of reviews undertaken.</w:t>
            </w:r>
          </w:p>
        </w:tc>
      </w:tr>
      <w:tr w:rsidR="00B40621" w:rsidTr="007D56DD">
        <w:tc>
          <w:tcPr>
            <w:tcW w:w="2660" w:type="dxa"/>
          </w:tcPr>
          <w:p w:rsidR="00B40621" w:rsidRPr="006C51D6" w:rsidRDefault="00B40621" w:rsidP="00F27EE2">
            <w:pPr>
              <w:rPr>
                <w:sz w:val="24"/>
                <w:szCs w:val="24"/>
              </w:rPr>
            </w:pPr>
            <w:r w:rsidRPr="006C51D6">
              <w:rPr>
                <w:sz w:val="24"/>
                <w:szCs w:val="24"/>
              </w:rPr>
              <w:lastRenderedPageBreak/>
              <w:t>Part 7 – Dangerous dogs</w:t>
            </w:r>
          </w:p>
        </w:tc>
        <w:tc>
          <w:tcPr>
            <w:tcW w:w="7087" w:type="dxa"/>
          </w:tcPr>
          <w:p w:rsidR="00B40621" w:rsidRPr="006C51D6" w:rsidRDefault="006953D2" w:rsidP="006953D2">
            <w:pPr>
              <w:pStyle w:val="ListParagraph"/>
              <w:numPr>
                <w:ilvl w:val="0"/>
                <w:numId w:val="21"/>
              </w:numPr>
              <w:ind w:left="459"/>
              <w:rPr>
                <w:sz w:val="24"/>
                <w:szCs w:val="24"/>
              </w:rPr>
            </w:pPr>
            <w:r w:rsidRPr="006C51D6">
              <w:rPr>
                <w:sz w:val="24"/>
                <w:szCs w:val="24"/>
              </w:rPr>
              <w:t>The Dangerous Dogs Act 1991 is amended so the legislation is extended to private property.</w:t>
            </w:r>
          </w:p>
          <w:p w:rsidR="006953D2" w:rsidRPr="006C51D6" w:rsidRDefault="006953D2" w:rsidP="006953D2">
            <w:pPr>
              <w:pStyle w:val="ListParagraph"/>
              <w:numPr>
                <w:ilvl w:val="0"/>
                <w:numId w:val="21"/>
              </w:numPr>
              <w:ind w:left="459"/>
              <w:rPr>
                <w:sz w:val="24"/>
                <w:szCs w:val="24"/>
              </w:rPr>
            </w:pPr>
            <w:r w:rsidRPr="006C51D6">
              <w:rPr>
                <w:sz w:val="24"/>
                <w:szCs w:val="24"/>
              </w:rPr>
              <w:t xml:space="preserve">There is an exception if the person affected by the dog is either a trespasser or believed to be a trespasser. </w:t>
            </w:r>
          </w:p>
        </w:tc>
      </w:tr>
      <w:tr w:rsidR="00B40621" w:rsidTr="007D56DD">
        <w:tc>
          <w:tcPr>
            <w:tcW w:w="2660" w:type="dxa"/>
          </w:tcPr>
          <w:p w:rsidR="00B40621" w:rsidRPr="006C51D6" w:rsidRDefault="00B40621" w:rsidP="00F27EE2">
            <w:pPr>
              <w:rPr>
                <w:sz w:val="24"/>
                <w:szCs w:val="24"/>
              </w:rPr>
            </w:pPr>
            <w:r w:rsidRPr="006C51D6">
              <w:rPr>
                <w:sz w:val="24"/>
                <w:szCs w:val="24"/>
              </w:rPr>
              <w:t>Part 8 - Firearms</w:t>
            </w:r>
          </w:p>
        </w:tc>
        <w:tc>
          <w:tcPr>
            <w:tcW w:w="7087" w:type="dxa"/>
          </w:tcPr>
          <w:p w:rsidR="00B40621" w:rsidRPr="006C51D6" w:rsidRDefault="00410158" w:rsidP="00AC2422">
            <w:pPr>
              <w:pStyle w:val="ListParagraph"/>
              <w:numPr>
                <w:ilvl w:val="0"/>
                <w:numId w:val="22"/>
              </w:numPr>
              <w:ind w:left="459"/>
              <w:rPr>
                <w:sz w:val="24"/>
                <w:szCs w:val="24"/>
              </w:rPr>
            </w:pPr>
            <w:r w:rsidRPr="006C51D6">
              <w:rPr>
                <w:sz w:val="24"/>
                <w:szCs w:val="24"/>
              </w:rPr>
              <w:t xml:space="preserve">Introduces a new offence of possessing unauthorised firearms for transfer or sale. Maximum penalty life imprisonment. </w:t>
            </w:r>
          </w:p>
        </w:tc>
      </w:tr>
      <w:tr w:rsidR="00B40621" w:rsidTr="007D56DD">
        <w:tc>
          <w:tcPr>
            <w:tcW w:w="2660" w:type="dxa"/>
          </w:tcPr>
          <w:p w:rsidR="00B40621" w:rsidRPr="006C51D6" w:rsidRDefault="00B40621" w:rsidP="00F27EE2">
            <w:pPr>
              <w:rPr>
                <w:sz w:val="24"/>
                <w:szCs w:val="24"/>
              </w:rPr>
            </w:pPr>
            <w:r w:rsidRPr="006C51D6">
              <w:rPr>
                <w:sz w:val="24"/>
                <w:szCs w:val="24"/>
              </w:rPr>
              <w:t>Part 9 – Forced marriage</w:t>
            </w:r>
          </w:p>
        </w:tc>
        <w:tc>
          <w:tcPr>
            <w:tcW w:w="7087" w:type="dxa"/>
          </w:tcPr>
          <w:p w:rsidR="00B40621" w:rsidRPr="006C51D6" w:rsidRDefault="00410158" w:rsidP="00410158">
            <w:pPr>
              <w:pStyle w:val="ListParagraph"/>
              <w:numPr>
                <w:ilvl w:val="0"/>
                <w:numId w:val="22"/>
              </w:numPr>
              <w:ind w:left="459"/>
              <w:rPr>
                <w:sz w:val="24"/>
                <w:szCs w:val="24"/>
              </w:rPr>
            </w:pPr>
            <w:r w:rsidRPr="006C51D6">
              <w:rPr>
                <w:sz w:val="24"/>
                <w:szCs w:val="24"/>
              </w:rPr>
              <w:t xml:space="preserve">Makes breach of a forced marriage protection order an offence with a penalty of up to five years in prison. </w:t>
            </w:r>
          </w:p>
          <w:p w:rsidR="00410158" w:rsidRPr="006C51D6" w:rsidRDefault="00410158" w:rsidP="00410158">
            <w:pPr>
              <w:pStyle w:val="ListParagraph"/>
              <w:numPr>
                <w:ilvl w:val="0"/>
                <w:numId w:val="22"/>
              </w:numPr>
              <w:ind w:left="459"/>
              <w:rPr>
                <w:sz w:val="24"/>
                <w:szCs w:val="24"/>
              </w:rPr>
            </w:pPr>
            <w:r w:rsidRPr="006C51D6">
              <w:rPr>
                <w:sz w:val="24"/>
                <w:szCs w:val="24"/>
              </w:rPr>
              <w:t>Creates a new offence of forced marriage, including forcing or deceiving someone to go abroad for the purpose of forcing them to marry.</w:t>
            </w:r>
          </w:p>
          <w:p w:rsidR="00410158" w:rsidRPr="006C51D6" w:rsidRDefault="00410158" w:rsidP="00410158">
            <w:pPr>
              <w:pStyle w:val="ListParagraph"/>
              <w:numPr>
                <w:ilvl w:val="0"/>
                <w:numId w:val="22"/>
              </w:numPr>
              <w:ind w:left="459"/>
              <w:rPr>
                <w:sz w:val="24"/>
                <w:szCs w:val="24"/>
              </w:rPr>
            </w:pPr>
            <w:r w:rsidRPr="006C51D6">
              <w:rPr>
                <w:sz w:val="24"/>
                <w:szCs w:val="24"/>
              </w:rPr>
              <w:t>Punishable by a fine or six months in prison (summary conviction) or on conviction or indictment by seven years in prison.</w:t>
            </w:r>
          </w:p>
        </w:tc>
      </w:tr>
      <w:tr w:rsidR="00B40621" w:rsidTr="007D56DD">
        <w:tc>
          <w:tcPr>
            <w:tcW w:w="2660" w:type="dxa"/>
          </w:tcPr>
          <w:p w:rsidR="00B40621" w:rsidRPr="006C51D6" w:rsidRDefault="00B40621" w:rsidP="00F27EE2">
            <w:pPr>
              <w:rPr>
                <w:sz w:val="24"/>
                <w:szCs w:val="24"/>
              </w:rPr>
            </w:pPr>
            <w:r w:rsidRPr="006C51D6">
              <w:rPr>
                <w:sz w:val="24"/>
                <w:szCs w:val="24"/>
              </w:rPr>
              <w:t xml:space="preserve">Part 10 – Policing </w:t>
            </w:r>
          </w:p>
        </w:tc>
        <w:tc>
          <w:tcPr>
            <w:tcW w:w="7087" w:type="dxa"/>
          </w:tcPr>
          <w:p w:rsidR="004F22FB" w:rsidRPr="006C51D6" w:rsidRDefault="004F22FB" w:rsidP="003E07F1">
            <w:pPr>
              <w:pStyle w:val="ListParagraph"/>
              <w:numPr>
                <w:ilvl w:val="0"/>
                <w:numId w:val="23"/>
              </w:numPr>
              <w:ind w:left="459"/>
              <w:rPr>
                <w:sz w:val="24"/>
                <w:szCs w:val="24"/>
              </w:rPr>
            </w:pPr>
            <w:r w:rsidRPr="006C51D6">
              <w:rPr>
                <w:sz w:val="24"/>
                <w:szCs w:val="24"/>
              </w:rPr>
              <w:t>Transfers powers for the Home Secretary to make regulations on the administration and terms of service for police officers and special constables to the College of Policing, with the Home Secretary able to decline regulations proposed by the College.</w:t>
            </w:r>
          </w:p>
          <w:p w:rsidR="004F22FB" w:rsidRPr="006C51D6" w:rsidRDefault="004F22FB" w:rsidP="003E07F1">
            <w:pPr>
              <w:pStyle w:val="ListParagraph"/>
              <w:numPr>
                <w:ilvl w:val="0"/>
                <w:numId w:val="23"/>
              </w:numPr>
              <w:ind w:left="459"/>
              <w:rPr>
                <w:sz w:val="24"/>
                <w:szCs w:val="24"/>
              </w:rPr>
            </w:pPr>
            <w:r w:rsidRPr="006C51D6">
              <w:rPr>
                <w:sz w:val="24"/>
                <w:szCs w:val="24"/>
              </w:rPr>
              <w:t>Changes are made to the provisions about making police grants so that PCCs will be able to use the police grant for all the functions they are responsible for, and not just policing purposes.</w:t>
            </w:r>
          </w:p>
          <w:p w:rsidR="00B40621" w:rsidRPr="006C51D6" w:rsidRDefault="004F22FB" w:rsidP="003E07F1">
            <w:pPr>
              <w:pStyle w:val="ListParagraph"/>
              <w:numPr>
                <w:ilvl w:val="0"/>
                <w:numId w:val="23"/>
              </w:numPr>
              <w:ind w:left="459"/>
              <w:rPr>
                <w:sz w:val="24"/>
                <w:szCs w:val="24"/>
              </w:rPr>
            </w:pPr>
            <w:r w:rsidRPr="006C51D6">
              <w:rPr>
                <w:sz w:val="24"/>
                <w:szCs w:val="24"/>
              </w:rPr>
              <w:t xml:space="preserve">PCCs will also be able to make grants to support victims and witnesses of crime and anti-social behaviour.  </w:t>
            </w:r>
          </w:p>
        </w:tc>
      </w:tr>
      <w:tr w:rsidR="00B40621" w:rsidTr="007D56DD">
        <w:tc>
          <w:tcPr>
            <w:tcW w:w="2660" w:type="dxa"/>
          </w:tcPr>
          <w:p w:rsidR="00B40621" w:rsidRPr="006C51D6" w:rsidRDefault="00B40621" w:rsidP="00F27EE2">
            <w:pPr>
              <w:rPr>
                <w:sz w:val="24"/>
                <w:szCs w:val="24"/>
              </w:rPr>
            </w:pPr>
            <w:r w:rsidRPr="006C51D6">
              <w:rPr>
                <w:sz w:val="24"/>
                <w:szCs w:val="24"/>
              </w:rPr>
              <w:t>Part 11 – Extradition</w:t>
            </w:r>
          </w:p>
        </w:tc>
        <w:tc>
          <w:tcPr>
            <w:tcW w:w="7087" w:type="dxa"/>
          </w:tcPr>
          <w:p w:rsidR="004F22FB" w:rsidRPr="006C51D6" w:rsidRDefault="004F22FB" w:rsidP="004F22FB">
            <w:pPr>
              <w:pStyle w:val="ListParagraph"/>
              <w:numPr>
                <w:ilvl w:val="0"/>
                <w:numId w:val="24"/>
              </w:numPr>
              <w:ind w:left="459"/>
              <w:rPr>
                <w:sz w:val="24"/>
                <w:szCs w:val="24"/>
              </w:rPr>
            </w:pPr>
            <w:r w:rsidRPr="006C51D6">
              <w:rPr>
                <w:sz w:val="24"/>
                <w:szCs w:val="24"/>
              </w:rPr>
              <w:t xml:space="preserve">Various changes to the provisions or legislation. </w:t>
            </w:r>
          </w:p>
        </w:tc>
      </w:tr>
      <w:tr w:rsidR="00B40621" w:rsidTr="007D56DD">
        <w:tc>
          <w:tcPr>
            <w:tcW w:w="2660" w:type="dxa"/>
          </w:tcPr>
          <w:p w:rsidR="00B40621" w:rsidRPr="006C51D6" w:rsidRDefault="00B40621" w:rsidP="00F27EE2">
            <w:pPr>
              <w:rPr>
                <w:sz w:val="24"/>
                <w:szCs w:val="24"/>
              </w:rPr>
            </w:pPr>
            <w:r w:rsidRPr="006C51D6">
              <w:rPr>
                <w:sz w:val="24"/>
                <w:szCs w:val="24"/>
              </w:rPr>
              <w:t>Part 12 – Criminal justice and court fees</w:t>
            </w:r>
          </w:p>
        </w:tc>
        <w:tc>
          <w:tcPr>
            <w:tcW w:w="7087" w:type="dxa"/>
          </w:tcPr>
          <w:p w:rsidR="00B40621" w:rsidRPr="006C51D6" w:rsidRDefault="004F22FB" w:rsidP="004F22FB">
            <w:pPr>
              <w:pStyle w:val="ListParagraph"/>
              <w:numPr>
                <w:ilvl w:val="0"/>
                <w:numId w:val="24"/>
              </w:numPr>
              <w:ind w:left="459"/>
              <w:rPr>
                <w:sz w:val="24"/>
                <w:szCs w:val="24"/>
              </w:rPr>
            </w:pPr>
            <w:r w:rsidRPr="006C51D6">
              <w:rPr>
                <w:sz w:val="24"/>
                <w:szCs w:val="24"/>
              </w:rPr>
              <w:t xml:space="preserve">Low-level shoplifting is made a summary offence other than where an adult defendant elects for trial in the Crown Court. It occurs when less than £200 in goods is stolen.  Maximum penalty is six months imprisonment.  </w:t>
            </w:r>
          </w:p>
        </w:tc>
      </w:tr>
      <w:tr w:rsidR="00B40621" w:rsidTr="007D56DD">
        <w:tc>
          <w:tcPr>
            <w:tcW w:w="2660" w:type="dxa"/>
          </w:tcPr>
          <w:p w:rsidR="00B40621" w:rsidRPr="006C51D6" w:rsidRDefault="00B40621" w:rsidP="00F27EE2">
            <w:pPr>
              <w:rPr>
                <w:sz w:val="24"/>
                <w:szCs w:val="24"/>
              </w:rPr>
            </w:pPr>
            <w:r w:rsidRPr="006C51D6">
              <w:rPr>
                <w:sz w:val="24"/>
                <w:szCs w:val="24"/>
              </w:rPr>
              <w:t xml:space="preserve">Part 13 – General </w:t>
            </w:r>
          </w:p>
        </w:tc>
        <w:tc>
          <w:tcPr>
            <w:tcW w:w="7087" w:type="dxa"/>
          </w:tcPr>
          <w:p w:rsidR="00B40621" w:rsidRPr="006C51D6" w:rsidRDefault="008D1F9F" w:rsidP="008D1F9F">
            <w:pPr>
              <w:pStyle w:val="ListParagraph"/>
              <w:numPr>
                <w:ilvl w:val="0"/>
                <w:numId w:val="24"/>
              </w:numPr>
              <w:ind w:left="459"/>
              <w:rPr>
                <w:sz w:val="24"/>
                <w:szCs w:val="24"/>
              </w:rPr>
            </w:pPr>
            <w:r w:rsidRPr="006C51D6">
              <w:rPr>
                <w:sz w:val="24"/>
                <w:szCs w:val="24"/>
              </w:rPr>
              <w:t>A number of transitional provisions made by the legislation.</w:t>
            </w:r>
          </w:p>
        </w:tc>
      </w:tr>
    </w:tbl>
    <w:p w:rsidR="00A04370" w:rsidRDefault="00A04370" w:rsidP="00F27EE2">
      <w:pPr>
        <w:rPr>
          <w:sz w:val="24"/>
          <w:szCs w:val="24"/>
        </w:rPr>
      </w:pPr>
    </w:p>
    <w:p w:rsidR="00CB7C13" w:rsidRDefault="00CB7C13">
      <w:pPr>
        <w:rPr>
          <w:sz w:val="24"/>
          <w:szCs w:val="24"/>
        </w:rPr>
      </w:pPr>
    </w:p>
    <w:p w:rsidR="00B94254" w:rsidRDefault="00B94254">
      <w:pPr>
        <w:rPr>
          <w:b/>
          <w:sz w:val="24"/>
          <w:szCs w:val="24"/>
        </w:rPr>
      </w:pPr>
      <w:r>
        <w:rPr>
          <w:b/>
          <w:sz w:val="24"/>
          <w:szCs w:val="24"/>
        </w:rPr>
        <w:t>3.</w:t>
      </w:r>
      <w:r>
        <w:rPr>
          <w:b/>
          <w:sz w:val="24"/>
          <w:szCs w:val="24"/>
        </w:rPr>
        <w:tab/>
      </w:r>
      <w:r w:rsidR="005938AC">
        <w:rPr>
          <w:b/>
          <w:sz w:val="24"/>
          <w:szCs w:val="24"/>
        </w:rPr>
        <w:t xml:space="preserve">Recommendations </w:t>
      </w:r>
    </w:p>
    <w:p w:rsidR="00CB7C13" w:rsidRDefault="00CB7C13">
      <w:pPr>
        <w:rPr>
          <w:b/>
          <w:sz w:val="24"/>
          <w:szCs w:val="24"/>
        </w:rPr>
      </w:pPr>
    </w:p>
    <w:p w:rsidR="007C5D1F" w:rsidRDefault="000618AA" w:rsidP="005938AC">
      <w:pPr>
        <w:ind w:left="720" w:hanging="720"/>
        <w:rPr>
          <w:sz w:val="24"/>
          <w:szCs w:val="24"/>
        </w:rPr>
      </w:pPr>
      <w:r>
        <w:rPr>
          <w:sz w:val="24"/>
          <w:szCs w:val="24"/>
        </w:rPr>
        <w:t>3.1</w:t>
      </w:r>
      <w:r>
        <w:rPr>
          <w:sz w:val="24"/>
          <w:szCs w:val="24"/>
        </w:rPr>
        <w:tab/>
      </w:r>
      <w:r w:rsidR="00E259B4">
        <w:rPr>
          <w:sz w:val="24"/>
          <w:szCs w:val="24"/>
        </w:rPr>
        <w:t xml:space="preserve">Whilst Panel Members may wish to clarify any emerging aspects of the Bill, it is suggested that detailed work on the implications be included in the work programme once the Bill is close to the enactment. </w:t>
      </w:r>
    </w:p>
    <w:p w:rsidR="00C8097A" w:rsidRDefault="00C8097A" w:rsidP="005938AC">
      <w:pPr>
        <w:ind w:left="720" w:hanging="720"/>
        <w:rPr>
          <w:sz w:val="24"/>
          <w:szCs w:val="24"/>
        </w:rPr>
      </w:pPr>
    </w:p>
    <w:p w:rsidR="00C8097A" w:rsidRDefault="00C8097A" w:rsidP="005938AC">
      <w:pPr>
        <w:ind w:left="720" w:hanging="720"/>
        <w:rPr>
          <w:sz w:val="24"/>
          <w:szCs w:val="24"/>
        </w:rPr>
      </w:pPr>
      <w:r>
        <w:rPr>
          <w:sz w:val="24"/>
          <w:szCs w:val="24"/>
        </w:rPr>
        <w:t>3.2</w:t>
      </w:r>
      <w:r>
        <w:rPr>
          <w:sz w:val="24"/>
          <w:szCs w:val="24"/>
        </w:rPr>
        <w:tab/>
        <w:t xml:space="preserve">Panel Members may wish to explore with relevant Community Safety Partnerships the practical implications of the Bill and refer any concerns back to the Panel for discussion with the Commissioner. </w:t>
      </w:r>
    </w:p>
    <w:p w:rsidR="007C5D1F" w:rsidRPr="007C5D1F" w:rsidRDefault="007C5D1F" w:rsidP="007C5D1F">
      <w:pPr>
        <w:rPr>
          <w:sz w:val="24"/>
          <w:szCs w:val="24"/>
        </w:rPr>
      </w:pPr>
      <w:bookmarkStart w:id="0" w:name="_GoBack"/>
      <w:bookmarkEnd w:id="0"/>
    </w:p>
    <w:sectPr w:rsidR="007C5D1F" w:rsidRPr="007C5D1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19B" w:rsidRDefault="00D1419B" w:rsidP="00344495">
      <w:r>
        <w:separator/>
      </w:r>
    </w:p>
  </w:endnote>
  <w:endnote w:type="continuationSeparator" w:id="0">
    <w:p w:rsidR="00D1419B" w:rsidRDefault="00D1419B" w:rsidP="0034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052453"/>
      <w:docPartObj>
        <w:docPartGallery w:val="Page Numbers (Bottom of Page)"/>
        <w:docPartUnique/>
      </w:docPartObj>
    </w:sdtPr>
    <w:sdtEndPr/>
    <w:sdtContent>
      <w:sdt>
        <w:sdtPr>
          <w:id w:val="-1669238322"/>
          <w:docPartObj>
            <w:docPartGallery w:val="Page Numbers (Top of Page)"/>
            <w:docPartUnique/>
          </w:docPartObj>
        </w:sdtPr>
        <w:sdtEndPr/>
        <w:sdtContent>
          <w:p w:rsidR="00D1419B" w:rsidRDefault="00D141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C5ED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5EDA">
              <w:rPr>
                <w:b/>
                <w:bCs/>
                <w:noProof/>
              </w:rPr>
              <w:t>4</w:t>
            </w:r>
            <w:r>
              <w:rPr>
                <w:b/>
                <w:bCs/>
                <w:sz w:val="24"/>
                <w:szCs w:val="24"/>
              </w:rPr>
              <w:fldChar w:fldCharType="end"/>
            </w:r>
          </w:p>
        </w:sdtContent>
      </w:sdt>
    </w:sdtContent>
  </w:sdt>
  <w:p w:rsidR="00D1419B" w:rsidRDefault="00D14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19B" w:rsidRDefault="00D1419B" w:rsidP="00344495">
      <w:r>
        <w:separator/>
      </w:r>
    </w:p>
  </w:footnote>
  <w:footnote w:type="continuationSeparator" w:id="0">
    <w:p w:rsidR="00D1419B" w:rsidRDefault="00D1419B" w:rsidP="00344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0C1"/>
    <w:multiLevelType w:val="hybridMultilevel"/>
    <w:tmpl w:val="7FD484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56771D3"/>
    <w:multiLevelType w:val="hybridMultilevel"/>
    <w:tmpl w:val="F9D633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E2C7236"/>
    <w:multiLevelType w:val="hybridMultilevel"/>
    <w:tmpl w:val="AB14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1E4770"/>
    <w:multiLevelType w:val="hybridMultilevel"/>
    <w:tmpl w:val="A546D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6003613"/>
    <w:multiLevelType w:val="hybridMultilevel"/>
    <w:tmpl w:val="74FEB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6C83A71"/>
    <w:multiLevelType w:val="hybridMultilevel"/>
    <w:tmpl w:val="8DA43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C5B0E8A"/>
    <w:multiLevelType w:val="multilevel"/>
    <w:tmpl w:val="DFE84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8A33DB"/>
    <w:multiLevelType w:val="hybridMultilevel"/>
    <w:tmpl w:val="0712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330007"/>
    <w:multiLevelType w:val="hybridMultilevel"/>
    <w:tmpl w:val="82B6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E02021"/>
    <w:multiLevelType w:val="hybridMultilevel"/>
    <w:tmpl w:val="70B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795E37"/>
    <w:multiLevelType w:val="hybridMultilevel"/>
    <w:tmpl w:val="411C5504"/>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17D4667"/>
    <w:multiLevelType w:val="hybridMultilevel"/>
    <w:tmpl w:val="24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021503"/>
    <w:multiLevelType w:val="hybridMultilevel"/>
    <w:tmpl w:val="B5AA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4D26FB"/>
    <w:multiLevelType w:val="hybridMultilevel"/>
    <w:tmpl w:val="3D3A3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3F3946"/>
    <w:multiLevelType w:val="hybridMultilevel"/>
    <w:tmpl w:val="EA36B494"/>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CF2443D"/>
    <w:multiLevelType w:val="hybridMultilevel"/>
    <w:tmpl w:val="18B06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56616A1"/>
    <w:multiLevelType w:val="hybridMultilevel"/>
    <w:tmpl w:val="C02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FF07C50"/>
    <w:multiLevelType w:val="hybridMultilevel"/>
    <w:tmpl w:val="C880664C"/>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1D21B5A"/>
    <w:multiLevelType w:val="hybridMultilevel"/>
    <w:tmpl w:val="1B1A3610"/>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874336F"/>
    <w:multiLevelType w:val="hybridMultilevel"/>
    <w:tmpl w:val="CB6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EB3ADE"/>
    <w:multiLevelType w:val="hybridMultilevel"/>
    <w:tmpl w:val="48D21E3A"/>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2827154"/>
    <w:multiLevelType w:val="hybridMultilevel"/>
    <w:tmpl w:val="83E8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B61078"/>
    <w:multiLevelType w:val="hybridMultilevel"/>
    <w:tmpl w:val="02DAE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5865DB5"/>
    <w:multiLevelType w:val="hybridMultilevel"/>
    <w:tmpl w:val="82AC8220"/>
    <w:lvl w:ilvl="0" w:tplc="CEBA30FA">
      <w:numFmt w:val="bullet"/>
      <w:lvlText w:val="-"/>
      <w:lvlJc w:val="left"/>
      <w:pPr>
        <w:ind w:left="1440" w:hanging="360"/>
      </w:pPr>
      <w:rPr>
        <w:rFonts w:ascii="Arial" w:eastAsiaTheme="minorHAns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22"/>
  </w:num>
  <w:num w:numId="4">
    <w:abstractNumId w:val="4"/>
  </w:num>
  <w:num w:numId="5">
    <w:abstractNumId w:val="15"/>
  </w:num>
  <w:num w:numId="6">
    <w:abstractNumId w:val="1"/>
  </w:num>
  <w:num w:numId="7">
    <w:abstractNumId w:val="14"/>
  </w:num>
  <w:num w:numId="8">
    <w:abstractNumId w:val="23"/>
  </w:num>
  <w:num w:numId="9">
    <w:abstractNumId w:val="17"/>
  </w:num>
  <w:num w:numId="10">
    <w:abstractNumId w:val="10"/>
  </w:num>
  <w:num w:numId="11">
    <w:abstractNumId w:val="20"/>
  </w:num>
  <w:num w:numId="12">
    <w:abstractNumId w:val="18"/>
  </w:num>
  <w:num w:numId="13">
    <w:abstractNumId w:val="6"/>
  </w:num>
  <w:num w:numId="14">
    <w:abstractNumId w:val="5"/>
  </w:num>
  <w:num w:numId="15">
    <w:abstractNumId w:val="0"/>
  </w:num>
  <w:num w:numId="16">
    <w:abstractNumId w:val="7"/>
  </w:num>
  <w:num w:numId="17">
    <w:abstractNumId w:val="19"/>
  </w:num>
  <w:num w:numId="18">
    <w:abstractNumId w:val="16"/>
  </w:num>
  <w:num w:numId="19">
    <w:abstractNumId w:val="2"/>
  </w:num>
  <w:num w:numId="20">
    <w:abstractNumId w:val="12"/>
  </w:num>
  <w:num w:numId="21">
    <w:abstractNumId w:val="9"/>
  </w:num>
  <w:num w:numId="22">
    <w:abstractNumId w:val="21"/>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A1"/>
    <w:rsid w:val="0000675B"/>
    <w:rsid w:val="00007B6A"/>
    <w:rsid w:val="0001293D"/>
    <w:rsid w:val="00040E6F"/>
    <w:rsid w:val="0005641B"/>
    <w:rsid w:val="000604C5"/>
    <w:rsid w:val="000618AA"/>
    <w:rsid w:val="00065BA6"/>
    <w:rsid w:val="00066715"/>
    <w:rsid w:val="00071A80"/>
    <w:rsid w:val="000874D1"/>
    <w:rsid w:val="0009467D"/>
    <w:rsid w:val="000C2612"/>
    <w:rsid w:val="000C7823"/>
    <w:rsid w:val="00131344"/>
    <w:rsid w:val="0013492D"/>
    <w:rsid w:val="001470CE"/>
    <w:rsid w:val="00152CC5"/>
    <w:rsid w:val="00157F10"/>
    <w:rsid w:val="001649A6"/>
    <w:rsid w:val="0016550D"/>
    <w:rsid w:val="00193258"/>
    <w:rsid w:val="00193B11"/>
    <w:rsid w:val="00194AE4"/>
    <w:rsid w:val="001C23C2"/>
    <w:rsid w:val="001F35E6"/>
    <w:rsid w:val="001F447A"/>
    <w:rsid w:val="001F4731"/>
    <w:rsid w:val="00204F3E"/>
    <w:rsid w:val="0020688E"/>
    <w:rsid w:val="00211C1D"/>
    <w:rsid w:val="0023259C"/>
    <w:rsid w:val="00235E77"/>
    <w:rsid w:val="00236667"/>
    <w:rsid w:val="002445AA"/>
    <w:rsid w:val="00246367"/>
    <w:rsid w:val="00275191"/>
    <w:rsid w:val="002927A6"/>
    <w:rsid w:val="00293299"/>
    <w:rsid w:val="002A47F9"/>
    <w:rsid w:val="002C3ECB"/>
    <w:rsid w:val="002E209B"/>
    <w:rsid w:val="003014A2"/>
    <w:rsid w:val="003040CC"/>
    <w:rsid w:val="00327B2E"/>
    <w:rsid w:val="00333F32"/>
    <w:rsid w:val="003350C2"/>
    <w:rsid w:val="00337A7F"/>
    <w:rsid w:val="003440BC"/>
    <w:rsid w:val="00344495"/>
    <w:rsid w:val="00384AF1"/>
    <w:rsid w:val="003977F1"/>
    <w:rsid w:val="003B62FD"/>
    <w:rsid w:val="003E07F1"/>
    <w:rsid w:val="003E3412"/>
    <w:rsid w:val="003E4E5D"/>
    <w:rsid w:val="003E66A4"/>
    <w:rsid w:val="003F194C"/>
    <w:rsid w:val="003F2E53"/>
    <w:rsid w:val="00401167"/>
    <w:rsid w:val="00410158"/>
    <w:rsid w:val="00415BB0"/>
    <w:rsid w:val="004204E9"/>
    <w:rsid w:val="00433F6F"/>
    <w:rsid w:val="00455DBE"/>
    <w:rsid w:val="00496003"/>
    <w:rsid w:val="004A0873"/>
    <w:rsid w:val="004A1A5D"/>
    <w:rsid w:val="004C0831"/>
    <w:rsid w:val="004D0BCE"/>
    <w:rsid w:val="004D4621"/>
    <w:rsid w:val="004F22FB"/>
    <w:rsid w:val="00502CB3"/>
    <w:rsid w:val="00521E66"/>
    <w:rsid w:val="0052551E"/>
    <w:rsid w:val="00550A4E"/>
    <w:rsid w:val="00552275"/>
    <w:rsid w:val="005532FE"/>
    <w:rsid w:val="00553A65"/>
    <w:rsid w:val="00560626"/>
    <w:rsid w:val="005657D4"/>
    <w:rsid w:val="005721B2"/>
    <w:rsid w:val="00593797"/>
    <w:rsid w:val="005938AC"/>
    <w:rsid w:val="005B145D"/>
    <w:rsid w:val="005B48DD"/>
    <w:rsid w:val="005E0FAE"/>
    <w:rsid w:val="00603A5E"/>
    <w:rsid w:val="00624C07"/>
    <w:rsid w:val="0066308F"/>
    <w:rsid w:val="0066370B"/>
    <w:rsid w:val="006776DB"/>
    <w:rsid w:val="00677E3A"/>
    <w:rsid w:val="006953D2"/>
    <w:rsid w:val="006C1953"/>
    <w:rsid w:val="006C1DA1"/>
    <w:rsid w:val="006C4BCD"/>
    <w:rsid w:val="006C51D6"/>
    <w:rsid w:val="006C5EDA"/>
    <w:rsid w:val="006D1C4E"/>
    <w:rsid w:val="006F3B1E"/>
    <w:rsid w:val="00700809"/>
    <w:rsid w:val="00715CD8"/>
    <w:rsid w:val="0071718C"/>
    <w:rsid w:val="0072612D"/>
    <w:rsid w:val="00730AC0"/>
    <w:rsid w:val="00734313"/>
    <w:rsid w:val="00742A55"/>
    <w:rsid w:val="007475B8"/>
    <w:rsid w:val="007475F4"/>
    <w:rsid w:val="00753233"/>
    <w:rsid w:val="00770BDC"/>
    <w:rsid w:val="007B14F4"/>
    <w:rsid w:val="007B457E"/>
    <w:rsid w:val="007C5D1F"/>
    <w:rsid w:val="007D56DD"/>
    <w:rsid w:val="007E67F9"/>
    <w:rsid w:val="007F180C"/>
    <w:rsid w:val="007F468D"/>
    <w:rsid w:val="007F47E9"/>
    <w:rsid w:val="007F55FA"/>
    <w:rsid w:val="00821B9F"/>
    <w:rsid w:val="008262D4"/>
    <w:rsid w:val="008437F7"/>
    <w:rsid w:val="0086629E"/>
    <w:rsid w:val="00870266"/>
    <w:rsid w:val="0087518A"/>
    <w:rsid w:val="008B2D15"/>
    <w:rsid w:val="008C150D"/>
    <w:rsid w:val="008C51EC"/>
    <w:rsid w:val="008C7570"/>
    <w:rsid w:val="008D05ED"/>
    <w:rsid w:val="008D14F0"/>
    <w:rsid w:val="008D1F9F"/>
    <w:rsid w:val="008E3E0A"/>
    <w:rsid w:val="00900EBB"/>
    <w:rsid w:val="00903212"/>
    <w:rsid w:val="00917633"/>
    <w:rsid w:val="00917EA4"/>
    <w:rsid w:val="00920E6F"/>
    <w:rsid w:val="00924946"/>
    <w:rsid w:val="00957833"/>
    <w:rsid w:val="00960A80"/>
    <w:rsid w:val="0097389A"/>
    <w:rsid w:val="009773DB"/>
    <w:rsid w:val="00984EAB"/>
    <w:rsid w:val="00990D1B"/>
    <w:rsid w:val="009B3661"/>
    <w:rsid w:val="009B660D"/>
    <w:rsid w:val="009B76AB"/>
    <w:rsid w:val="009B7A60"/>
    <w:rsid w:val="009D1CE9"/>
    <w:rsid w:val="009D5F46"/>
    <w:rsid w:val="009E6635"/>
    <w:rsid w:val="00A02BFC"/>
    <w:rsid w:val="00A04370"/>
    <w:rsid w:val="00A16DD3"/>
    <w:rsid w:val="00A20AA7"/>
    <w:rsid w:val="00A33B84"/>
    <w:rsid w:val="00A4228E"/>
    <w:rsid w:val="00A430A4"/>
    <w:rsid w:val="00A44C67"/>
    <w:rsid w:val="00A57A8E"/>
    <w:rsid w:val="00A70DE0"/>
    <w:rsid w:val="00AA01B6"/>
    <w:rsid w:val="00AA72CC"/>
    <w:rsid w:val="00AC2422"/>
    <w:rsid w:val="00AF0240"/>
    <w:rsid w:val="00B10B79"/>
    <w:rsid w:val="00B21300"/>
    <w:rsid w:val="00B2304C"/>
    <w:rsid w:val="00B3170B"/>
    <w:rsid w:val="00B35D50"/>
    <w:rsid w:val="00B40621"/>
    <w:rsid w:val="00B517A6"/>
    <w:rsid w:val="00B8699C"/>
    <w:rsid w:val="00B94254"/>
    <w:rsid w:val="00B95F43"/>
    <w:rsid w:val="00BA6CE8"/>
    <w:rsid w:val="00BB06EA"/>
    <w:rsid w:val="00BD5A47"/>
    <w:rsid w:val="00BF2643"/>
    <w:rsid w:val="00BF6A3B"/>
    <w:rsid w:val="00C31C6E"/>
    <w:rsid w:val="00C61D99"/>
    <w:rsid w:val="00C6252C"/>
    <w:rsid w:val="00C7190E"/>
    <w:rsid w:val="00C721A9"/>
    <w:rsid w:val="00C8049C"/>
    <w:rsid w:val="00C8097A"/>
    <w:rsid w:val="00C83A42"/>
    <w:rsid w:val="00C95DAB"/>
    <w:rsid w:val="00CA5D91"/>
    <w:rsid w:val="00CA711E"/>
    <w:rsid w:val="00CB7C13"/>
    <w:rsid w:val="00CC2FE6"/>
    <w:rsid w:val="00CC6A76"/>
    <w:rsid w:val="00D07274"/>
    <w:rsid w:val="00D11BE2"/>
    <w:rsid w:val="00D1419B"/>
    <w:rsid w:val="00D1784F"/>
    <w:rsid w:val="00D216B9"/>
    <w:rsid w:val="00D3439C"/>
    <w:rsid w:val="00D44D5C"/>
    <w:rsid w:val="00D508D6"/>
    <w:rsid w:val="00D53CB8"/>
    <w:rsid w:val="00D53CD4"/>
    <w:rsid w:val="00D54BD0"/>
    <w:rsid w:val="00D64593"/>
    <w:rsid w:val="00D7528E"/>
    <w:rsid w:val="00D84BAE"/>
    <w:rsid w:val="00D95B99"/>
    <w:rsid w:val="00D95F02"/>
    <w:rsid w:val="00D96AA7"/>
    <w:rsid w:val="00DA087C"/>
    <w:rsid w:val="00DB0400"/>
    <w:rsid w:val="00DF3AE4"/>
    <w:rsid w:val="00E259B4"/>
    <w:rsid w:val="00E479F8"/>
    <w:rsid w:val="00E5443E"/>
    <w:rsid w:val="00E650A1"/>
    <w:rsid w:val="00E66194"/>
    <w:rsid w:val="00EA7E57"/>
    <w:rsid w:val="00EC202A"/>
    <w:rsid w:val="00EC5831"/>
    <w:rsid w:val="00ED1B94"/>
    <w:rsid w:val="00ED3100"/>
    <w:rsid w:val="00EE070C"/>
    <w:rsid w:val="00F022D5"/>
    <w:rsid w:val="00F074F4"/>
    <w:rsid w:val="00F11538"/>
    <w:rsid w:val="00F22B07"/>
    <w:rsid w:val="00F22D37"/>
    <w:rsid w:val="00F27EE2"/>
    <w:rsid w:val="00F36D6D"/>
    <w:rsid w:val="00F377A9"/>
    <w:rsid w:val="00F47F50"/>
    <w:rsid w:val="00F8056C"/>
    <w:rsid w:val="00F8411F"/>
    <w:rsid w:val="00FC16E4"/>
    <w:rsid w:val="00FC3B8D"/>
    <w:rsid w:val="00FC489D"/>
    <w:rsid w:val="00FC551F"/>
    <w:rsid w:val="00FD3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1B2"/>
    <w:pPr>
      <w:ind w:left="720"/>
      <w:contextualSpacing/>
    </w:pPr>
  </w:style>
  <w:style w:type="paragraph" w:styleId="Header">
    <w:name w:val="header"/>
    <w:basedOn w:val="Normal"/>
    <w:link w:val="HeaderChar"/>
    <w:uiPriority w:val="99"/>
    <w:unhideWhenUsed/>
    <w:rsid w:val="00344495"/>
    <w:pPr>
      <w:tabs>
        <w:tab w:val="center" w:pos="4513"/>
        <w:tab w:val="right" w:pos="9026"/>
      </w:tabs>
    </w:pPr>
  </w:style>
  <w:style w:type="character" w:customStyle="1" w:styleId="HeaderChar">
    <w:name w:val="Header Char"/>
    <w:basedOn w:val="DefaultParagraphFont"/>
    <w:link w:val="Header"/>
    <w:uiPriority w:val="99"/>
    <w:rsid w:val="00344495"/>
  </w:style>
  <w:style w:type="paragraph" w:styleId="Footer">
    <w:name w:val="footer"/>
    <w:basedOn w:val="Normal"/>
    <w:link w:val="FooterChar"/>
    <w:uiPriority w:val="99"/>
    <w:unhideWhenUsed/>
    <w:rsid w:val="00344495"/>
    <w:pPr>
      <w:tabs>
        <w:tab w:val="center" w:pos="4513"/>
        <w:tab w:val="right" w:pos="9026"/>
      </w:tabs>
    </w:pPr>
  </w:style>
  <w:style w:type="character" w:customStyle="1" w:styleId="FooterChar">
    <w:name w:val="Footer Char"/>
    <w:basedOn w:val="DefaultParagraphFont"/>
    <w:link w:val="Footer"/>
    <w:uiPriority w:val="99"/>
    <w:rsid w:val="00344495"/>
  </w:style>
  <w:style w:type="table" w:styleId="TableGrid">
    <w:name w:val="Table Grid"/>
    <w:basedOn w:val="TableNormal"/>
    <w:uiPriority w:val="59"/>
    <w:rsid w:val="00A04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1B2"/>
    <w:pPr>
      <w:ind w:left="720"/>
      <w:contextualSpacing/>
    </w:pPr>
  </w:style>
  <w:style w:type="paragraph" w:styleId="Header">
    <w:name w:val="header"/>
    <w:basedOn w:val="Normal"/>
    <w:link w:val="HeaderChar"/>
    <w:uiPriority w:val="99"/>
    <w:unhideWhenUsed/>
    <w:rsid w:val="00344495"/>
    <w:pPr>
      <w:tabs>
        <w:tab w:val="center" w:pos="4513"/>
        <w:tab w:val="right" w:pos="9026"/>
      </w:tabs>
    </w:pPr>
  </w:style>
  <w:style w:type="character" w:customStyle="1" w:styleId="HeaderChar">
    <w:name w:val="Header Char"/>
    <w:basedOn w:val="DefaultParagraphFont"/>
    <w:link w:val="Header"/>
    <w:uiPriority w:val="99"/>
    <w:rsid w:val="00344495"/>
  </w:style>
  <w:style w:type="paragraph" w:styleId="Footer">
    <w:name w:val="footer"/>
    <w:basedOn w:val="Normal"/>
    <w:link w:val="FooterChar"/>
    <w:uiPriority w:val="99"/>
    <w:unhideWhenUsed/>
    <w:rsid w:val="00344495"/>
    <w:pPr>
      <w:tabs>
        <w:tab w:val="center" w:pos="4513"/>
        <w:tab w:val="right" w:pos="9026"/>
      </w:tabs>
    </w:pPr>
  </w:style>
  <w:style w:type="character" w:customStyle="1" w:styleId="FooterChar">
    <w:name w:val="Footer Char"/>
    <w:basedOn w:val="DefaultParagraphFont"/>
    <w:link w:val="Footer"/>
    <w:uiPriority w:val="99"/>
    <w:rsid w:val="00344495"/>
  </w:style>
  <w:style w:type="table" w:styleId="TableGrid">
    <w:name w:val="Table Grid"/>
    <w:basedOn w:val="TableNormal"/>
    <w:uiPriority w:val="59"/>
    <w:rsid w:val="00A04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8403">
      <w:bodyDiv w:val="1"/>
      <w:marLeft w:val="0"/>
      <w:marRight w:val="0"/>
      <w:marTop w:val="0"/>
      <w:marBottom w:val="0"/>
      <w:divBdr>
        <w:top w:val="none" w:sz="0" w:space="0" w:color="auto"/>
        <w:left w:val="none" w:sz="0" w:space="0" w:color="auto"/>
        <w:bottom w:val="none" w:sz="0" w:space="0" w:color="auto"/>
        <w:right w:val="none" w:sz="0" w:space="0" w:color="auto"/>
      </w:divBdr>
    </w:div>
    <w:div w:id="76826813">
      <w:bodyDiv w:val="1"/>
      <w:marLeft w:val="0"/>
      <w:marRight w:val="0"/>
      <w:marTop w:val="0"/>
      <w:marBottom w:val="0"/>
      <w:divBdr>
        <w:top w:val="none" w:sz="0" w:space="0" w:color="auto"/>
        <w:left w:val="none" w:sz="0" w:space="0" w:color="auto"/>
        <w:bottom w:val="none" w:sz="0" w:space="0" w:color="auto"/>
        <w:right w:val="none" w:sz="0" w:space="0" w:color="auto"/>
      </w:divBdr>
    </w:div>
    <w:div w:id="1242447151">
      <w:bodyDiv w:val="1"/>
      <w:marLeft w:val="0"/>
      <w:marRight w:val="0"/>
      <w:marTop w:val="0"/>
      <w:marBottom w:val="0"/>
      <w:divBdr>
        <w:top w:val="none" w:sz="0" w:space="0" w:color="auto"/>
        <w:left w:val="none" w:sz="0" w:space="0" w:color="auto"/>
        <w:bottom w:val="none" w:sz="0" w:space="0" w:color="auto"/>
        <w:right w:val="none" w:sz="0" w:space="0" w:color="auto"/>
      </w:divBdr>
    </w:div>
    <w:div w:id="1307973375">
      <w:bodyDiv w:val="1"/>
      <w:marLeft w:val="0"/>
      <w:marRight w:val="0"/>
      <w:marTop w:val="0"/>
      <w:marBottom w:val="0"/>
      <w:divBdr>
        <w:top w:val="none" w:sz="0" w:space="0" w:color="auto"/>
        <w:left w:val="none" w:sz="0" w:space="0" w:color="auto"/>
        <w:bottom w:val="none" w:sz="0" w:space="0" w:color="auto"/>
        <w:right w:val="none" w:sz="0" w:space="0" w:color="auto"/>
      </w:divBdr>
    </w:div>
    <w:div w:id="14487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316FCF5F64740A5B591D01EEC9D07" ma:contentTypeVersion="1" ma:contentTypeDescription="Create a new document." ma:contentTypeScope="" ma:versionID="a08b3e75a23c1d31ae00e5530fcf900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CFEB71-0017-4BE0-833B-6E68119BD091}"/>
</file>

<file path=customXml/itemProps2.xml><?xml version="1.0" encoding="utf-8"?>
<ds:datastoreItem xmlns:ds="http://schemas.openxmlformats.org/officeDocument/2006/customXml" ds:itemID="{A7C55AD6-C1DA-4A3D-AFB8-6ADAE28B89DD}"/>
</file>

<file path=customXml/itemProps3.xml><?xml version="1.0" encoding="utf-8"?>
<ds:datastoreItem xmlns:ds="http://schemas.openxmlformats.org/officeDocument/2006/customXml" ds:itemID="{160E7BEA-699E-4530-83BD-4F9C92FA2EAE}"/>
</file>

<file path=docProps/app.xml><?xml version="1.0" encoding="utf-8"?>
<Properties xmlns="http://schemas.openxmlformats.org/officeDocument/2006/extended-properties" xmlns:vt="http://schemas.openxmlformats.org/officeDocument/2006/docPropsVTypes">
  <Template>Normal</Template>
  <TotalTime>257</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12 - Impact of the ASB Bill</dc:title>
  <dc:creator>Elliott, Clare (AWYA)</dc:creator>
  <cp:lastModifiedBy>Elliott, Clare (AWYA)</cp:lastModifiedBy>
  <cp:revision>139</cp:revision>
  <cp:lastPrinted>2013-03-05T13:16:00Z</cp:lastPrinted>
  <dcterms:created xsi:type="dcterms:W3CDTF">2013-05-28T14:21:00Z</dcterms:created>
  <dcterms:modified xsi:type="dcterms:W3CDTF">2013-05-30T09:24:00Z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0x0101002E9316FCF5F64740A5B591D01EEC9D07</vt:lpwstr>
  </property>
</Properties>
</file>