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94E" w:rsidRDefault="005A0497" w:rsidP="00CE594E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C05602" wp14:editId="70B072F3">
                <wp:simplePos x="0" y="0"/>
                <wp:positionH relativeFrom="column">
                  <wp:posOffset>3189605</wp:posOffset>
                </wp:positionH>
                <wp:positionV relativeFrom="paragraph">
                  <wp:posOffset>-22860</wp:posOffset>
                </wp:positionV>
                <wp:extent cx="1932940" cy="670560"/>
                <wp:effectExtent l="0" t="0" r="10160" b="1524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94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E79" w:rsidRDefault="00952E79" w:rsidP="00A0612C">
                            <w:pPr>
                              <w:ind w:hanging="1440"/>
                              <w:rPr>
                                <w:b/>
                              </w:rPr>
                            </w:pPr>
                            <w:r w:rsidRPr="00A0612C">
                              <w:rPr>
                                <w:b/>
                              </w:rPr>
                              <w:t>Samantha Wilkinson</w:t>
                            </w:r>
                          </w:p>
                          <w:p w:rsidR="005A0497" w:rsidRPr="00A0612C" w:rsidRDefault="005A0497" w:rsidP="00A0612C">
                            <w:pPr>
                              <w:ind w:hanging="14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Police &amp; Crime Panel Officer</w:t>
                            </w:r>
                          </w:p>
                          <w:p w:rsidR="00952E79" w:rsidRPr="00A0612C" w:rsidRDefault="00952E79" w:rsidP="00A0612C">
                            <w:pPr>
                              <w:ind w:hanging="1440"/>
                              <w:rPr>
                                <w:b/>
                              </w:rPr>
                            </w:pPr>
                            <w:r w:rsidRPr="00A0612C">
                              <w:rPr>
                                <w:b/>
                              </w:rPr>
                              <w:t>01924 305310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1.15pt;margin-top:-1.8pt;width:152.2pt;height:5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">
                <v:textbox>
                  <w:txbxContent>
                    <w:p w:rsidR="00952E79" w:rsidRDefault="00952E79" w:rsidP="00A0612C">
                      <w:pPr>
                        <w:ind w:hanging="1440"/>
                        <w:rPr>
                          <w:b/>
                        </w:rPr>
                      </w:pPr>
                      <w:r w:rsidRPr="00A0612C">
                        <w:rPr>
                          <w:b/>
                        </w:rPr>
                        <w:t>Samantha Wilkinson</w:t>
                      </w:r>
                    </w:p>
                    <w:p w:rsidR="005A0497" w:rsidRPr="00A0612C" w:rsidRDefault="005A0497" w:rsidP="00A0612C">
                      <w:pPr>
                        <w:ind w:hanging="144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Police &amp; Crime Panel Officer</w:t>
                      </w:r>
                    </w:p>
                    <w:p w:rsidR="00952E79" w:rsidRPr="00A0612C" w:rsidRDefault="00952E79" w:rsidP="00A0612C">
                      <w:pPr>
                        <w:ind w:hanging="1440"/>
                        <w:rPr>
                          <w:b/>
                        </w:rPr>
                      </w:pPr>
                      <w:r w:rsidRPr="00A0612C">
                        <w:rPr>
                          <w:b/>
                        </w:rPr>
                        <w:t>01924 305310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DE9ADF" wp14:editId="79E84C34">
                <wp:simplePos x="0" y="0"/>
                <wp:positionH relativeFrom="column">
                  <wp:posOffset>4064000</wp:posOffset>
                </wp:positionH>
                <wp:positionV relativeFrom="paragraph">
                  <wp:posOffset>-426720</wp:posOffset>
                </wp:positionV>
                <wp:extent cx="1058545" cy="350520"/>
                <wp:effectExtent l="0" t="0" r="27305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854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E79" w:rsidRPr="005A0497" w:rsidRDefault="005A0497" w:rsidP="00A0612C">
                            <w:pPr>
                              <w:ind w:hanging="1298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A0497">
                              <w:rPr>
                                <w:b/>
                                <w:sz w:val="24"/>
                                <w:szCs w:val="24"/>
                              </w:rPr>
                              <w:t>Item 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20pt;margin-top:-33.6pt;width:83.35pt;height:2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">
                <v:textbox>
                  <w:txbxContent>
                    <w:p w:rsidR="00952E79" w:rsidRPr="005A0497" w:rsidRDefault="005A0497" w:rsidP="00A0612C">
                      <w:pPr>
                        <w:ind w:hanging="1298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A0497">
                        <w:rPr>
                          <w:b/>
                          <w:sz w:val="24"/>
                          <w:szCs w:val="24"/>
                        </w:rPr>
                        <w:t>Item 15</w:t>
                      </w:r>
                    </w:p>
                  </w:txbxContent>
                </v:textbox>
              </v:shape>
            </w:pict>
          </mc:Fallback>
        </mc:AlternateContent>
      </w:r>
    </w:p>
    <w:p w:rsidR="00CE594E" w:rsidRPr="004159F1" w:rsidRDefault="00CE594E" w:rsidP="00CE594E">
      <w:pPr>
        <w:rPr>
          <w:b/>
          <w:sz w:val="28"/>
          <w:szCs w:val="28"/>
        </w:rPr>
      </w:pPr>
      <w:r w:rsidRPr="004159F1">
        <w:rPr>
          <w:b/>
          <w:sz w:val="28"/>
          <w:szCs w:val="28"/>
        </w:rPr>
        <w:t>Friday,</w:t>
      </w:r>
      <w:r w:rsidR="00C77B7B">
        <w:rPr>
          <w:b/>
          <w:sz w:val="28"/>
          <w:szCs w:val="28"/>
        </w:rPr>
        <w:t xml:space="preserve"> </w:t>
      </w:r>
      <w:r w:rsidR="00D46590">
        <w:rPr>
          <w:b/>
          <w:sz w:val="28"/>
          <w:szCs w:val="28"/>
        </w:rPr>
        <w:t>20</w:t>
      </w:r>
      <w:r w:rsidR="00D46590" w:rsidRPr="00D46590">
        <w:rPr>
          <w:b/>
          <w:sz w:val="28"/>
          <w:szCs w:val="28"/>
          <w:vertAlign w:val="superscript"/>
        </w:rPr>
        <w:t>th</w:t>
      </w:r>
      <w:r w:rsidR="00D46590">
        <w:rPr>
          <w:b/>
          <w:sz w:val="28"/>
          <w:szCs w:val="28"/>
        </w:rPr>
        <w:t xml:space="preserve"> June 2014</w:t>
      </w:r>
      <w:r w:rsidRPr="004159F1">
        <w:rPr>
          <w:b/>
          <w:sz w:val="28"/>
          <w:szCs w:val="28"/>
        </w:rPr>
        <w:tab/>
      </w:r>
    </w:p>
    <w:p w:rsidR="00CE594E" w:rsidRPr="004159F1" w:rsidRDefault="00CE594E" w:rsidP="00CE594E">
      <w:pPr>
        <w:rPr>
          <w:b/>
          <w:sz w:val="28"/>
          <w:szCs w:val="28"/>
        </w:rPr>
      </w:pPr>
    </w:p>
    <w:p w:rsidR="00CE594E" w:rsidRPr="004159F1" w:rsidRDefault="00D46590" w:rsidP="00CE594E">
      <w:pPr>
        <w:rPr>
          <w:b/>
          <w:sz w:val="28"/>
          <w:szCs w:val="28"/>
        </w:rPr>
      </w:pPr>
      <w:r>
        <w:rPr>
          <w:b/>
          <w:sz w:val="28"/>
          <w:szCs w:val="28"/>
        </w:rPr>
        <w:t>Wakefield Suite, Wakefield One</w:t>
      </w:r>
      <w:r w:rsidR="00CE594E" w:rsidRPr="004159F1">
        <w:rPr>
          <w:b/>
          <w:sz w:val="28"/>
          <w:szCs w:val="28"/>
        </w:rPr>
        <w:t xml:space="preserve"> </w:t>
      </w:r>
    </w:p>
    <w:p w:rsidR="00CE594E" w:rsidRPr="004159F1" w:rsidRDefault="00CE594E" w:rsidP="00CE594E">
      <w:pPr>
        <w:rPr>
          <w:b/>
          <w:sz w:val="28"/>
          <w:szCs w:val="28"/>
        </w:rPr>
      </w:pPr>
    </w:p>
    <w:p w:rsidR="00CE594E" w:rsidRPr="004159F1" w:rsidRDefault="003E1810" w:rsidP="004159F1">
      <w:p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Panel Budget</w:t>
      </w:r>
      <w:r w:rsidR="00D46590">
        <w:rPr>
          <w:b/>
          <w:sz w:val="28"/>
          <w:szCs w:val="28"/>
        </w:rPr>
        <w:t xml:space="preserve"> 2014</w:t>
      </w:r>
      <w:r w:rsidR="0061561C">
        <w:rPr>
          <w:b/>
          <w:sz w:val="28"/>
          <w:szCs w:val="28"/>
        </w:rPr>
        <w:t>/</w:t>
      </w:r>
      <w:r w:rsidR="00D46590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CE594E" w:rsidRDefault="00CE594E" w:rsidP="00CE594E">
      <w:pPr>
        <w:rPr>
          <w:b/>
        </w:rPr>
      </w:pPr>
    </w:p>
    <w:p w:rsidR="00CE594E" w:rsidRPr="00CE594E" w:rsidRDefault="00CE594E" w:rsidP="00CE594E"/>
    <w:p w:rsidR="00CE594E" w:rsidRPr="00CE594E" w:rsidRDefault="00CE594E" w:rsidP="00CE594E"/>
    <w:p w:rsidR="00CE594E" w:rsidRPr="003E1810" w:rsidRDefault="00CE594E" w:rsidP="00893C26">
      <w:pPr>
        <w:ind w:left="709" w:hanging="709"/>
        <w:rPr>
          <w:b/>
          <w:sz w:val="24"/>
          <w:szCs w:val="24"/>
        </w:rPr>
      </w:pPr>
      <w:r w:rsidRPr="003E1810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5CF8F7BA" wp14:editId="564492C1">
            <wp:simplePos x="0" y="0"/>
            <wp:positionH relativeFrom="page">
              <wp:posOffset>798195</wp:posOffset>
            </wp:positionH>
            <wp:positionV relativeFrom="page">
              <wp:posOffset>582930</wp:posOffset>
            </wp:positionV>
            <wp:extent cx="1230630" cy="1600200"/>
            <wp:effectExtent l="0" t="0" r="7620" b="0"/>
            <wp:wrapTight wrapText="bothSides">
              <wp:wrapPolygon edited="0">
                <wp:start x="0" y="0"/>
                <wp:lineTo x="0" y="21343"/>
                <wp:lineTo x="21399" y="21343"/>
                <wp:lineTo x="21399" y="0"/>
                <wp:lineTo x="0" y="0"/>
              </wp:wrapPolygon>
            </wp:wrapTight>
            <wp:docPr id="1" name="Picture 1" descr="Description: Logo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2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E1810">
        <w:rPr>
          <w:b/>
          <w:sz w:val="24"/>
          <w:szCs w:val="24"/>
        </w:rPr>
        <w:t>1.</w:t>
      </w:r>
      <w:r w:rsidRPr="003E1810">
        <w:rPr>
          <w:b/>
          <w:sz w:val="24"/>
          <w:szCs w:val="24"/>
        </w:rPr>
        <w:tab/>
        <w:t>Purpose</w:t>
      </w:r>
    </w:p>
    <w:p w:rsidR="00CE594E" w:rsidRPr="003E1810" w:rsidRDefault="00CE594E" w:rsidP="00CE594E">
      <w:pPr>
        <w:rPr>
          <w:b/>
          <w:sz w:val="24"/>
          <w:szCs w:val="24"/>
        </w:rPr>
      </w:pPr>
    </w:p>
    <w:p w:rsidR="00CE594E" w:rsidRPr="003E1810" w:rsidRDefault="00CE594E" w:rsidP="00CE594E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3E1810">
        <w:rPr>
          <w:sz w:val="24"/>
          <w:szCs w:val="24"/>
        </w:rPr>
        <w:t xml:space="preserve">The purpose of this report is to </w:t>
      </w:r>
    </w:p>
    <w:p w:rsidR="00CE594E" w:rsidRPr="003E1810" w:rsidRDefault="00CE594E" w:rsidP="00CE594E">
      <w:pPr>
        <w:pStyle w:val="ListParagraph"/>
        <w:rPr>
          <w:sz w:val="24"/>
          <w:szCs w:val="24"/>
        </w:rPr>
      </w:pPr>
    </w:p>
    <w:p w:rsidR="00893C26" w:rsidRPr="00132B53" w:rsidRDefault="00CE594E" w:rsidP="00132B5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32B53">
        <w:rPr>
          <w:sz w:val="24"/>
          <w:szCs w:val="24"/>
        </w:rPr>
        <w:t xml:space="preserve">Inform the Panel of the funding </w:t>
      </w:r>
      <w:r w:rsidR="00513742">
        <w:rPr>
          <w:sz w:val="24"/>
          <w:szCs w:val="24"/>
        </w:rPr>
        <w:t>outcome for 201</w:t>
      </w:r>
      <w:r w:rsidR="00D46590">
        <w:rPr>
          <w:sz w:val="24"/>
          <w:szCs w:val="24"/>
        </w:rPr>
        <w:t>3</w:t>
      </w:r>
      <w:r w:rsidRPr="00132B53">
        <w:rPr>
          <w:sz w:val="24"/>
          <w:szCs w:val="24"/>
        </w:rPr>
        <w:t>/1</w:t>
      </w:r>
      <w:r w:rsidR="00D46590">
        <w:rPr>
          <w:sz w:val="24"/>
          <w:szCs w:val="24"/>
        </w:rPr>
        <w:t>4</w:t>
      </w:r>
      <w:r w:rsidRPr="00132B53">
        <w:rPr>
          <w:sz w:val="24"/>
          <w:szCs w:val="24"/>
        </w:rPr>
        <w:t xml:space="preserve"> and </w:t>
      </w:r>
      <w:r w:rsidR="00513742">
        <w:rPr>
          <w:sz w:val="24"/>
          <w:szCs w:val="24"/>
        </w:rPr>
        <w:t xml:space="preserve">the draft budget for the </w:t>
      </w:r>
      <w:r w:rsidR="003E1810" w:rsidRPr="00132B53">
        <w:rPr>
          <w:sz w:val="24"/>
          <w:szCs w:val="24"/>
        </w:rPr>
        <w:t>Panel</w:t>
      </w:r>
      <w:r w:rsidR="008453F0" w:rsidRPr="00132B53">
        <w:rPr>
          <w:sz w:val="24"/>
          <w:szCs w:val="24"/>
        </w:rPr>
        <w:t xml:space="preserve"> </w:t>
      </w:r>
      <w:r w:rsidR="00513742">
        <w:rPr>
          <w:sz w:val="24"/>
          <w:szCs w:val="24"/>
        </w:rPr>
        <w:t xml:space="preserve">going forward into </w:t>
      </w:r>
      <w:r w:rsidR="008453F0" w:rsidRPr="00132B53">
        <w:rPr>
          <w:sz w:val="24"/>
          <w:szCs w:val="24"/>
        </w:rPr>
        <w:t>201</w:t>
      </w:r>
      <w:r w:rsidR="00D46590">
        <w:rPr>
          <w:sz w:val="24"/>
          <w:szCs w:val="24"/>
        </w:rPr>
        <w:t>4/15</w:t>
      </w:r>
      <w:r w:rsidR="00513742">
        <w:rPr>
          <w:sz w:val="24"/>
          <w:szCs w:val="24"/>
        </w:rPr>
        <w:t>.</w:t>
      </w:r>
    </w:p>
    <w:p w:rsidR="008453F0" w:rsidRPr="003E1810" w:rsidRDefault="008453F0" w:rsidP="008453F0">
      <w:pPr>
        <w:pStyle w:val="ListParagraph"/>
        <w:ind w:left="1418" w:firstLine="0"/>
        <w:rPr>
          <w:sz w:val="24"/>
          <w:szCs w:val="24"/>
        </w:rPr>
      </w:pPr>
    </w:p>
    <w:p w:rsidR="00B01615" w:rsidRPr="003E1810" w:rsidRDefault="00CE594E" w:rsidP="00893C26">
      <w:pPr>
        <w:ind w:left="709"/>
        <w:rPr>
          <w:b/>
          <w:sz w:val="24"/>
          <w:szCs w:val="24"/>
        </w:rPr>
      </w:pPr>
      <w:r w:rsidRPr="003E1810">
        <w:rPr>
          <w:b/>
          <w:sz w:val="24"/>
          <w:szCs w:val="24"/>
        </w:rPr>
        <w:t>2.</w:t>
      </w:r>
      <w:r w:rsidRPr="003E1810">
        <w:rPr>
          <w:b/>
          <w:sz w:val="24"/>
          <w:szCs w:val="24"/>
        </w:rPr>
        <w:tab/>
      </w:r>
      <w:r w:rsidR="00B01615" w:rsidRPr="003E1810">
        <w:rPr>
          <w:b/>
          <w:sz w:val="24"/>
          <w:szCs w:val="24"/>
        </w:rPr>
        <w:tab/>
      </w:r>
      <w:r w:rsidR="0009268D" w:rsidRPr="003E1810">
        <w:rPr>
          <w:b/>
          <w:sz w:val="24"/>
          <w:szCs w:val="24"/>
        </w:rPr>
        <w:t xml:space="preserve">Home Office </w:t>
      </w:r>
      <w:r w:rsidR="00B01615" w:rsidRPr="003E1810">
        <w:rPr>
          <w:b/>
          <w:sz w:val="24"/>
          <w:szCs w:val="24"/>
        </w:rPr>
        <w:t>Support</w:t>
      </w:r>
    </w:p>
    <w:p w:rsidR="00CE594E" w:rsidRPr="003E1810" w:rsidRDefault="00CE594E" w:rsidP="00CE594E">
      <w:pPr>
        <w:rPr>
          <w:b/>
          <w:sz w:val="24"/>
          <w:szCs w:val="24"/>
        </w:rPr>
      </w:pPr>
    </w:p>
    <w:p w:rsidR="006B20BE" w:rsidRPr="003E1810" w:rsidRDefault="00CE594E" w:rsidP="002F1EF0">
      <w:pPr>
        <w:ind w:left="720"/>
        <w:rPr>
          <w:rFonts w:cstheme="minorHAnsi"/>
          <w:sz w:val="24"/>
          <w:szCs w:val="24"/>
        </w:rPr>
      </w:pPr>
      <w:r w:rsidRPr="003E1810">
        <w:rPr>
          <w:sz w:val="24"/>
          <w:szCs w:val="24"/>
        </w:rPr>
        <w:t>2.1</w:t>
      </w:r>
      <w:r w:rsidR="00870D2C" w:rsidRPr="003E1810">
        <w:rPr>
          <w:sz w:val="24"/>
          <w:szCs w:val="24"/>
        </w:rPr>
        <w:tab/>
      </w:r>
      <w:r w:rsidR="006B20BE" w:rsidRPr="003E1810">
        <w:rPr>
          <w:sz w:val="24"/>
          <w:szCs w:val="24"/>
        </w:rPr>
        <w:t>The</w:t>
      </w:r>
      <w:r w:rsidR="00AA47BC">
        <w:rPr>
          <w:sz w:val="24"/>
          <w:szCs w:val="24"/>
        </w:rPr>
        <w:t xml:space="preserve"> Government committed to providing</w:t>
      </w:r>
      <w:r w:rsidR="006B20BE" w:rsidRPr="003E1810">
        <w:rPr>
          <w:sz w:val="24"/>
          <w:szCs w:val="24"/>
        </w:rPr>
        <w:t xml:space="preserve"> </w:t>
      </w:r>
      <w:r w:rsidR="00870D2C" w:rsidRPr="003E1810">
        <w:rPr>
          <w:sz w:val="24"/>
          <w:szCs w:val="24"/>
        </w:rPr>
        <w:t xml:space="preserve">limited </w:t>
      </w:r>
      <w:r w:rsidR="006B20BE" w:rsidRPr="003E1810">
        <w:rPr>
          <w:sz w:val="24"/>
          <w:szCs w:val="24"/>
        </w:rPr>
        <w:t xml:space="preserve">funding to cover the costs of maintaining Police and Crime Panels. The host authority for a Police and Crime Panel in a police force area </w:t>
      </w:r>
      <w:r w:rsidR="00870D2C" w:rsidRPr="003E1810">
        <w:rPr>
          <w:sz w:val="24"/>
          <w:szCs w:val="24"/>
        </w:rPr>
        <w:t xml:space="preserve">will </w:t>
      </w:r>
      <w:r w:rsidR="002F1EF0" w:rsidRPr="003E1810">
        <w:rPr>
          <w:sz w:val="24"/>
          <w:szCs w:val="24"/>
        </w:rPr>
        <w:t>receive annually</w:t>
      </w:r>
      <w:r w:rsidR="006B20BE" w:rsidRPr="003E1810">
        <w:rPr>
          <w:rFonts w:cstheme="minorHAnsi"/>
          <w:sz w:val="24"/>
          <w:szCs w:val="24"/>
        </w:rPr>
        <w:t xml:space="preserve"> £53,300 for costs of administering Panels and</w:t>
      </w:r>
      <w:r w:rsidR="003E1810">
        <w:rPr>
          <w:rFonts w:cstheme="minorHAnsi"/>
          <w:sz w:val="24"/>
          <w:szCs w:val="24"/>
        </w:rPr>
        <w:t xml:space="preserve"> </w:t>
      </w:r>
      <w:r w:rsidR="006B20BE" w:rsidRPr="003E1810">
        <w:rPr>
          <w:rFonts w:cstheme="minorHAnsi"/>
          <w:sz w:val="24"/>
          <w:szCs w:val="24"/>
        </w:rPr>
        <w:t xml:space="preserve">£920 for expenses per member (maximum 20 Panel members). </w:t>
      </w:r>
      <w:r w:rsidR="00513742">
        <w:rPr>
          <w:rFonts w:cstheme="minorHAnsi"/>
          <w:sz w:val="24"/>
          <w:szCs w:val="24"/>
        </w:rPr>
        <w:t xml:space="preserve">  This has been confirmed for 201</w:t>
      </w:r>
      <w:r w:rsidR="00D46590">
        <w:rPr>
          <w:rFonts w:cstheme="minorHAnsi"/>
          <w:sz w:val="24"/>
          <w:szCs w:val="24"/>
        </w:rPr>
        <w:t>4</w:t>
      </w:r>
      <w:r w:rsidR="00513742">
        <w:rPr>
          <w:rFonts w:cstheme="minorHAnsi"/>
          <w:sz w:val="24"/>
          <w:szCs w:val="24"/>
        </w:rPr>
        <w:t>/1</w:t>
      </w:r>
      <w:r w:rsidR="00D46590">
        <w:rPr>
          <w:rFonts w:cstheme="minorHAnsi"/>
          <w:sz w:val="24"/>
          <w:szCs w:val="24"/>
        </w:rPr>
        <w:t>5</w:t>
      </w:r>
      <w:r w:rsidR="00513742">
        <w:rPr>
          <w:rFonts w:cstheme="minorHAnsi"/>
          <w:sz w:val="24"/>
          <w:szCs w:val="24"/>
        </w:rPr>
        <w:t xml:space="preserve"> but no commitment has been made for future years at this stage.</w:t>
      </w:r>
    </w:p>
    <w:p w:rsidR="00E61819" w:rsidRDefault="00E61819" w:rsidP="00E61819">
      <w:pPr>
        <w:pStyle w:val="Default"/>
        <w:ind w:left="720"/>
        <w:rPr>
          <w:rFonts w:asciiTheme="minorHAnsi" w:hAnsiTheme="minorHAnsi" w:cstheme="minorHAnsi"/>
        </w:rPr>
      </w:pPr>
    </w:p>
    <w:p w:rsidR="00167CCB" w:rsidRPr="003E1810" w:rsidRDefault="00E61819" w:rsidP="00E61819">
      <w:pPr>
        <w:pStyle w:val="Default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 w:rsidR="00D46590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ab/>
        <w:t>Home Office f</w:t>
      </w:r>
      <w:r w:rsidR="00513742">
        <w:rPr>
          <w:rFonts w:asciiTheme="minorHAnsi" w:hAnsiTheme="minorHAnsi" w:cstheme="minorHAnsi"/>
        </w:rPr>
        <w:t xml:space="preserve">unding </w:t>
      </w:r>
      <w:r>
        <w:rPr>
          <w:rFonts w:asciiTheme="minorHAnsi" w:hAnsiTheme="minorHAnsi" w:cstheme="minorHAnsi"/>
        </w:rPr>
        <w:t xml:space="preserve">is </w:t>
      </w:r>
      <w:r w:rsidR="00513742">
        <w:rPr>
          <w:rFonts w:asciiTheme="minorHAnsi" w:hAnsiTheme="minorHAnsi" w:cstheme="minorHAnsi"/>
        </w:rPr>
        <w:t xml:space="preserve">provided </w:t>
      </w:r>
      <w:r>
        <w:rPr>
          <w:rFonts w:asciiTheme="minorHAnsi" w:hAnsiTheme="minorHAnsi" w:cstheme="minorHAnsi"/>
        </w:rPr>
        <w:t xml:space="preserve">via a grant agreement which is </w:t>
      </w:r>
      <w:r w:rsidR="006B20BE" w:rsidRPr="003E1810">
        <w:rPr>
          <w:rFonts w:asciiTheme="minorHAnsi" w:hAnsiTheme="minorHAnsi" w:cstheme="minorHAnsi"/>
        </w:rPr>
        <w:t xml:space="preserve">paid in arrears </w:t>
      </w:r>
      <w:r>
        <w:rPr>
          <w:rFonts w:asciiTheme="minorHAnsi" w:hAnsiTheme="minorHAnsi" w:cstheme="minorHAnsi"/>
        </w:rPr>
        <w:t xml:space="preserve">to </w:t>
      </w:r>
      <w:r w:rsidR="0032351F">
        <w:rPr>
          <w:rFonts w:asciiTheme="minorHAnsi" w:hAnsiTheme="minorHAnsi" w:cstheme="minorHAnsi"/>
        </w:rPr>
        <w:t xml:space="preserve">Wakefield as </w:t>
      </w:r>
      <w:r>
        <w:rPr>
          <w:rFonts w:asciiTheme="minorHAnsi" w:hAnsiTheme="minorHAnsi" w:cstheme="minorHAnsi"/>
        </w:rPr>
        <w:t xml:space="preserve">the </w:t>
      </w:r>
      <w:r w:rsidR="00870D2C" w:rsidRPr="003E1810">
        <w:rPr>
          <w:rFonts w:asciiTheme="minorHAnsi" w:hAnsiTheme="minorHAnsi" w:cstheme="minorHAnsi"/>
        </w:rPr>
        <w:t>host authority</w:t>
      </w:r>
      <w:r>
        <w:rPr>
          <w:rFonts w:asciiTheme="minorHAnsi" w:hAnsiTheme="minorHAnsi" w:cstheme="minorHAnsi"/>
        </w:rPr>
        <w:t xml:space="preserve">.  </w:t>
      </w:r>
      <w:r w:rsidR="006B20BE" w:rsidRPr="003E1810">
        <w:rPr>
          <w:rFonts w:asciiTheme="minorHAnsi" w:hAnsiTheme="minorHAnsi" w:cstheme="minorHAnsi"/>
        </w:rPr>
        <w:t xml:space="preserve"> </w:t>
      </w:r>
    </w:p>
    <w:p w:rsidR="00167CCB" w:rsidRPr="003E1810" w:rsidRDefault="00167CCB" w:rsidP="00167CCB">
      <w:pPr>
        <w:pStyle w:val="Default"/>
        <w:ind w:left="720"/>
        <w:rPr>
          <w:rFonts w:asciiTheme="minorHAnsi" w:hAnsiTheme="minorHAnsi" w:cstheme="minorHAnsi"/>
        </w:rPr>
      </w:pPr>
    </w:p>
    <w:p w:rsidR="00B01615" w:rsidRPr="003E1810" w:rsidRDefault="00893C26" w:rsidP="00893C26">
      <w:pPr>
        <w:ind w:left="0" w:firstLine="0"/>
        <w:rPr>
          <w:rFonts w:cstheme="minorHAnsi"/>
          <w:b/>
          <w:sz w:val="24"/>
          <w:szCs w:val="24"/>
        </w:rPr>
      </w:pPr>
      <w:r w:rsidRPr="003E1810">
        <w:rPr>
          <w:rFonts w:cstheme="minorHAnsi"/>
          <w:b/>
          <w:sz w:val="24"/>
          <w:szCs w:val="24"/>
        </w:rPr>
        <w:t>3.</w:t>
      </w:r>
      <w:r w:rsidRPr="003E1810">
        <w:rPr>
          <w:rFonts w:cstheme="minorHAnsi"/>
          <w:sz w:val="24"/>
          <w:szCs w:val="24"/>
        </w:rPr>
        <w:tab/>
      </w:r>
      <w:r w:rsidR="00B01615" w:rsidRPr="003E1810">
        <w:rPr>
          <w:rFonts w:cstheme="minorHAnsi"/>
          <w:b/>
          <w:sz w:val="24"/>
          <w:szCs w:val="24"/>
        </w:rPr>
        <w:t xml:space="preserve">Local Authority Contributions </w:t>
      </w:r>
    </w:p>
    <w:p w:rsidR="00870D2C" w:rsidRPr="003E1810" w:rsidRDefault="00870D2C" w:rsidP="00B01615">
      <w:pPr>
        <w:ind w:left="0" w:firstLine="720"/>
        <w:rPr>
          <w:rFonts w:cstheme="minorHAnsi"/>
          <w:b/>
          <w:sz w:val="24"/>
          <w:szCs w:val="24"/>
        </w:rPr>
      </w:pPr>
    </w:p>
    <w:p w:rsidR="00167CCB" w:rsidRPr="003E1810" w:rsidRDefault="00167CCB" w:rsidP="00167CCB">
      <w:pPr>
        <w:ind w:left="720"/>
        <w:rPr>
          <w:rFonts w:cstheme="minorHAnsi"/>
          <w:sz w:val="24"/>
          <w:szCs w:val="24"/>
        </w:rPr>
      </w:pPr>
      <w:r w:rsidRPr="003E1810">
        <w:rPr>
          <w:rFonts w:cstheme="minorHAnsi"/>
          <w:sz w:val="24"/>
          <w:szCs w:val="24"/>
        </w:rPr>
        <w:t>3.1</w:t>
      </w:r>
      <w:r w:rsidRPr="003E1810">
        <w:rPr>
          <w:rFonts w:cstheme="minorHAnsi"/>
          <w:sz w:val="24"/>
          <w:szCs w:val="24"/>
        </w:rPr>
        <w:tab/>
      </w:r>
      <w:r w:rsidR="00893C26" w:rsidRPr="003E1810">
        <w:rPr>
          <w:rFonts w:cstheme="minorHAnsi"/>
          <w:sz w:val="24"/>
          <w:szCs w:val="24"/>
        </w:rPr>
        <w:t xml:space="preserve">As part of the initial decision making around the </w:t>
      </w:r>
      <w:r w:rsidRPr="003E1810">
        <w:rPr>
          <w:rFonts w:cstheme="minorHAnsi"/>
          <w:sz w:val="24"/>
          <w:szCs w:val="24"/>
        </w:rPr>
        <w:t xml:space="preserve">establishment </w:t>
      </w:r>
      <w:r w:rsidR="00893C26" w:rsidRPr="003E1810">
        <w:rPr>
          <w:rFonts w:cstheme="minorHAnsi"/>
          <w:sz w:val="24"/>
          <w:szCs w:val="24"/>
        </w:rPr>
        <w:t xml:space="preserve">of </w:t>
      </w:r>
      <w:r w:rsidRPr="003E1810">
        <w:rPr>
          <w:rFonts w:cstheme="minorHAnsi"/>
          <w:sz w:val="24"/>
          <w:szCs w:val="24"/>
        </w:rPr>
        <w:t xml:space="preserve">a </w:t>
      </w:r>
      <w:r w:rsidR="00893C26" w:rsidRPr="003E1810">
        <w:rPr>
          <w:rFonts w:cstheme="minorHAnsi"/>
          <w:sz w:val="24"/>
          <w:szCs w:val="24"/>
        </w:rPr>
        <w:t>Police and Crime Panel for West Yorkshire, the AWYA Council, comprising of the five West Yorkshire Leaders, considered the support and resources that the P</w:t>
      </w:r>
      <w:r w:rsidRPr="003E1810">
        <w:rPr>
          <w:rFonts w:cstheme="minorHAnsi"/>
          <w:sz w:val="24"/>
          <w:szCs w:val="24"/>
        </w:rPr>
        <w:t>anel</w:t>
      </w:r>
      <w:r w:rsidR="003E1810">
        <w:rPr>
          <w:rFonts w:cstheme="minorHAnsi"/>
          <w:sz w:val="24"/>
          <w:szCs w:val="24"/>
        </w:rPr>
        <w:t xml:space="preserve"> might require to </w:t>
      </w:r>
      <w:r w:rsidR="00893C26" w:rsidRPr="003E1810">
        <w:rPr>
          <w:rFonts w:cstheme="minorHAnsi"/>
          <w:sz w:val="24"/>
          <w:szCs w:val="24"/>
        </w:rPr>
        <w:t>carry out its responsibilities on behalf of the communities in West Yorkshire.</w:t>
      </w:r>
    </w:p>
    <w:p w:rsidR="00167CCB" w:rsidRPr="003E1810" w:rsidRDefault="00167CCB" w:rsidP="00167CCB">
      <w:pPr>
        <w:ind w:left="720"/>
        <w:rPr>
          <w:rFonts w:cstheme="minorHAnsi"/>
          <w:sz w:val="24"/>
          <w:szCs w:val="24"/>
        </w:rPr>
      </w:pPr>
    </w:p>
    <w:p w:rsidR="00167CCB" w:rsidRDefault="00167CCB" w:rsidP="00167CCB">
      <w:pPr>
        <w:ind w:left="720"/>
        <w:rPr>
          <w:rFonts w:cstheme="minorHAnsi"/>
          <w:sz w:val="24"/>
          <w:szCs w:val="24"/>
        </w:rPr>
      </w:pPr>
      <w:r w:rsidRPr="003E1810">
        <w:rPr>
          <w:rFonts w:cstheme="minorHAnsi"/>
          <w:sz w:val="24"/>
          <w:szCs w:val="24"/>
        </w:rPr>
        <w:t>3.2</w:t>
      </w:r>
      <w:r w:rsidRPr="003E1810">
        <w:rPr>
          <w:rFonts w:cstheme="minorHAnsi"/>
          <w:sz w:val="24"/>
          <w:szCs w:val="24"/>
        </w:rPr>
        <w:tab/>
        <w:t xml:space="preserve">It was agreed that staff would be required to provide the Panel with the necessary support around research, performance monitoring, complaints, communications, servicing and administration. </w:t>
      </w:r>
    </w:p>
    <w:p w:rsidR="00D46590" w:rsidRPr="003E1810" w:rsidRDefault="00D46590" w:rsidP="00167CCB">
      <w:pPr>
        <w:ind w:left="720"/>
        <w:rPr>
          <w:rFonts w:cstheme="minorHAnsi"/>
          <w:sz w:val="24"/>
          <w:szCs w:val="24"/>
        </w:rPr>
      </w:pPr>
    </w:p>
    <w:p w:rsidR="00B01615" w:rsidRPr="003E1810" w:rsidRDefault="00167CCB" w:rsidP="00167CCB">
      <w:pPr>
        <w:ind w:left="720"/>
        <w:rPr>
          <w:rFonts w:cstheme="minorHAnsi"/>
          <w:sz w:val="24"/>
          <w:szCs w:val="24"/>
        </w:rPr>
      </w:pPr>
      <w:r w:rsidRPr="003E1810">
        <w:rPr>
          <w:rFonts w:cstheme="minorHAnsi"/>
          <w:sz w:val="24"/>
          <w:szCs w:val="24"/>
        </w:rPr>
        <w:t>3.3</w:t>
      </w:r>
      <w:r w:rsidRPr="003E1810">
        <w:rPr>
          <w:rFonts w:cstheme="minorHAnsi"/>
          <w:sz w:val="24"/>
          <w:szCs w:val="24"/>
        </w:rPr>
        <w:tab/>
        <w:t xml:space="preserve">The West Yorkshire Authorities, therefore, agreed to make a contribution </w:t>
      </w:r>
      <w:r w:rsidR="00B01615" w:rsidRPr="003E1810">
        <w:rPr>
          <w:rFonts w:cstheme="minorHAnsi"/>
          <w:sz w:val="24"/>
          <w:szCs w:val="24"/>
        </w:rPr>
        <w:t xml:space="preserve">of £13,300 per authority </w:t>
      </w:r>
      <w:r w:rsidR="00C7042D">
        <w:rPr>
          <w:rFonts w:cstheme="minorHAnsi"/>
          <w:sz w:val="24"/>
          <w:szCs w:val="24"/>
        </w:rPr>
        <w:t xml:space="preserve">to support the work of the Panel </w:t>
      </w:r>
      <w:r w:rsidR="00513742">
        <w:rPr>
          <w:rFonts w:cstheme="minorHAnsi"/>
          <w:sz w:val="24"/>
          <w:szCs w:val="24"/>
        </w:rPr>
        <w:t xml:space="preserve">in the first year with </w:t>
      </w:r>
      <w:r w:rsidRPr="003E1810">
        <w:rPr>
          <w:rFonts w:cstheme="minorHAnsi"/>
          <w:sz w:val="24"/>
          <w:szCs w:val="24"/>
        </w:rPr>
        <w:t xml:space="preserve">a view to this being reviewed </w:t>
      </w:r>
      <w:r w:rsidR="00AA47BC">
        <w:rPr>
          <w:rFonts w:cstheme="minorHAnsi"/>
          <w:sz w:val="24"/>
          <w:szCs w:val="24"/>
        </w:rPr>
        <w:t xml:space="preserve">once </w:t>
      </w:r>
      <w:r w:rsidRPr="003E1810">
        <w:rPr>
          <w:rFonts w:cstheme="minorHAnsi"/>
          <w:sz w:val="24"/>
          <w:szCs w:val="24"/>
        </w:rPr>
        <w:t xml:space="preserve">the workload and the level of support required </w:t>
      </w:r>
      <w:r w:rsidR="00AA47BC">
        <w:rPr>
          <w:rFonts w:cstheme="minorHAnsi"/>
          <w:sz w:val="24"/>
          <w:szCs w:val="24"/>
        </w:rPr>
        <w:t xml:space="preserve">was </w:t>
      </w:r>
      <w:r w:rsidRPr="003E1810">
        <w:rPr>
          <w:rFonts w:cstheme="minorHAnsi"/>
          <w:sz w:val="24"/>
          <w:szCs w:val="24"/>
        </w:rPr>
        <w:t>clearer</w:t>
      </w:r>
      <w:r w:rsidR="00B01615" w:rsidRPr="003E1810">
        <w:rPr>
          <w:rFonts w:cstheme="minorHAnsi"/>
          <w:sz w:val="24"/>
          <w:szCs w:val="24"/>
        </w:rPr>
        <w:t xml:space="preserve">.  </w:t>
      </w:r>
    </w:p>
    <w:p w:rsidR="00B01615" w:rsidRPr="003E1810" w:rsidRDefault="00B01615" w:rsidP="00167CCB">
      <w:pPr>
        <w:ind w:left="720"/>
        <w:rPr>
          <w:rFonts w:cstheme="minorHAnsi"/>
          <w:sz w:val="24"/>
          <w:szCs w:val="24"/>
        </w:rPr>
      </w:pPr>
    </w:p>
    <w:p w:rsidR="00151F4C" w:rsidRPr="003E1810" w:rsidRDefault="00151F4C" w:rsidP="00167CCB">
      <w:pPr>
        <w:ind w:left="720"/>
        <w:rPr>
          <w:rFonts w:cstheme="minorHAnsi"/>
          <w:b/>
          <w:sz w:val="24"/>
          <w:szCs w:val="24"/>
        </w:rPr>
      </w:pPr>
      <w:r w:rsidRPr="003E1810">
        <w:rPr>
          <w:rFonts w:cstheme="minorHAnsi"/>
          <w:b/>
          <w:sz w:val="24"/>
          <w:szCs w:val="24"/>
        </w:rPr>
        <w:t>4.</w:t>
      </w:r>
      <w:r w:rsidRPr="003E1810">
        <w:rPr>
          <w:rFonts w:cstheme="minorHAnsi"/>
          <w:b/>
          <w:sz w:val="24"/>
          <w:szCs w:val="24"/>
        </w:rPr>
        <w:tab/>
        <w:t>Panel Support</w:t>
      </w:r>
    </w:p>
    <w:p w:rsidR="00151F4C" w:rsidRPr="003E1810" w:rsidRDefault="00151F4C" w:rsidP="00B01615">
      <w:pPr>
        <w:ind w:left="720"/>
        <w:rPr>
          <w:rFonts w:cstheme="minorHAnsi"/>
          <w:sz w:val="24"/>
          <w:szCs w:val="24"/>
        </w:rPr>
      </w:pPr>
    </w:p>
    <w:p w:rsidR="00B01615" w:rsidRPr="003E1810" w:rsidRDefault="00151F4C" w:rsidP="00B01615">
      <w:pPr>
        <w:ind w:left="720"/>
        <w:rPr>
          <w:rFonts w:cstheme="minorHAnsi"/>
          <w:sz w:val="24"/>
          <w:szCs w:val="24"/>
        </w:rPr>
      </w:pPr>
      <w:r w:rsidRPr="003E1810">
        <w:rPr>
          <w:rFonts w:cstheme="minorHAnsi"/>
          <w:sz w:val="24"/>
          <w:szCs w:val="24"/>
        </w:rPr>
        <w:t>4.1</w:t>
      </w:r>
      <w:r w:rsidR="00B01615" w:rsidRPr="003E1810">
        <w:rPr>
          <w:rFonts w:cstheme="minorHAnsi"/>
          <w:sz w:val="24"/>
          <w:szCs w:val="24"/>
        </w:rPr>
        <w:tab/>
      </w:r>
      <w:r w:rsidRPr="003E1810">
        <w:rPr>
          <w:rFonts w:cstheme="minorHAnsi"/>
          <w:sz w:val="24"/>
          <w:szCs w:val="24"/>
        </w:rPr>
        <w:t xml:space="preserve">The </w:t>
      </w:r>
      <w:r w:rsidR="00B01615" w:rsidRPr="003E1810">
        <w:rPr>
          <w:rFonts w:cstheme="minorHAnsi"/>
          <w:sz w:val="24"/>
          <w:szCs w:val="24"/>
        </w:rPr>
        <w:t>additional local authority contribution</w:t>
      </w:r>
      <w:r w:rsidR="00AA47BC">
        <w:rPr>
          <w:rFonts w:cstheme="minorHAnsi"/>
          <w:sz w:val="24"/>
          <w:szCs w:val="24"/>
        </w:rPr>
        <w:t>s</w:t>
      </w:r>
      <w:r w:rsidR="00B01615" w:rsidRPr="003E1810">
        <w:rPr>
          <w:rFonts w:cstheme="minorHAnsi"/>
          <w:sz w:val="24"/>
          <w:szCs w:val="24"/>
        </w:rPr>
        <w:t xml:space="preserve"> </w:t>
      </w:r>
      <w:r w:rsidRPr="003E1810">
        <w:rPr>
          <w:rFonts w:cstheme="minorHAnsi"/>
          <w:sz w:val="24"/>
          <w:szCs w:val="24"/>
        </w:rPr>
        <w:t xml:space="preserve">referred to above </w:t>
      </w:r>
      <w:r w:rsidR="00AA47BC">
        <w:rPr>
          <w:rFonts w:cstheme="minorHAnsi"/>
          <w:sz w:val="24"/>
          <w:szCs w:val="24"/>
        </w:rPr>
        <w:t>were</w:t>
      </w:r>
      <w:r w:rsidR="00B01615" w:rsidRPr="003E1810">
        <w:rPr>
          <w:rFonts w:cstheme="minorHAnsi"/>
          <w:sz w:val="24"/>
          <w:szCs w:val="24"/>
        </w:rPr>
        <w:t xml:space="preserve"> based on a proposal to recruit a full time Policy Analyst and a </w:t>
      </w:r>
      <w:r w:rsidR="00370E8C" w:rsidRPr="003E1810">
        <w:rPr>
          <w:rFonts w:cstheme="minorHAnsi"/>
          <w:sz w:val="24"/>
          <w:szCs w:val="24"/>
        </w:rPr>
        <w:t>S</w:t>
      </w:r>
      <w:r w:rsidR="00AA47BC">
        <w:rPr>
          <w:rFonts w:cstheme="minorHAnsi"/>
          <w:sz w:val="24"/>
          <w:szCs w:val="24"/>
        </w:rPr>
        <w:t xml:space="preserve">crutiny/Research </w:t>
      </w:r>
      <w:r w:rsidR="00B01615" w:rsidRPr="003E1810">
        <w:rPr>
          <w:rFonts w:cstheme="minorHAnsi"/>
          <w:sz w:val="24"/>
          <w:szCs w:val="24"/>
        </w:rPr>
        <w:t xml:space="preserve">level officer </w:t>
      </w:r>
      <w:r w:rsidR="00B01615" w:rsidRPr="003E1810">
        <w:rPr>
          <w:rFonts w:cstheme="minorHAnsi"/>
          <w:sz w:val="24"/>
          <w:szCs w:val="24"/>
        </w:rPr>
        <w:lastRenderedPageBreak/>
        <w:t>along with a part-time administration post.</w:t>
      </w:r>
      <w:r w:rsidR="00AA47BC">
        <w:rPr>
          <w:rFonts w:cstheme="minorHAnsi"/>
          <w:sz w:val="24"/>
          <w:szCs w:val="24"/>
        </w:rPr>
        <w:t xml:space="preserve">  It</w:t>
      </w:r>
      <w:r w:rsidR="0032351F">
        <w:rPr>
          <w:rFonts w:cstheme="minorHAnsi"/>
          <w:sz w:val="24"/>
          <w:szCs w:val="24"/>
        </w:rPr>
        <w:t xml:space="preserve"> was</w:t>
      </w:r>
      <w:r w:rsidR="00AA47BC">
        <w:rPr>
          <w:rFonts w:cstheme="minorHAnsi"/>
          <w:sz w:val="24"/>
          <w:szCs w:val="24"/>
        </w:rPr>
        <w:t xml:space="preserve"> felt that this level of staffing </w:t>
      </w:r>
      <w:r w:rsidR="0032351F">
        <w:rPr>
          <w:rFonts w:cstheme="minorHAnsi"/>
          <w:sz w:val="24"/>
          <w:szCs w:val="24"/>
        </w:rPr>
        <w:t xml:space="preserve">was necessary to </w:t>
      </w:r>
      <w:r w:rsidR="00AA47BC">
        <w:rPr>
          <w:rFonts w:cstheme="minorHAnsi"/>
          <w:sz w:val="24"/>
          <w:szCs w:val="24"/>
        </w:rPr>
        <w:t>support for the Panel along with additional input from core AWYA staff.</w:t>
      </w:r>
    </w:p>
    <w:p w:rsidR="00B01615" w:rsidRPr="003E1810" w:rsidRDefault="00B01615" w:rsidP="00B01615">
      <w:pPr>
        <w:ind w:left="720" w:firstLine="0"/>
        <w:rPr>
          <w:rFonts w:cstheme="minorHAnsi"/>
          <w:sz w:val="24"/>
          <w:szCs w:val="24"/>
        </w:rPr>
      </w:pPr>
    </w:p>
    <w:p w:rsidR="00370E8C" w:rsidRDefault="00151F4C" w:rsidP="00A0612C">
      <w:pPr>
        <w:ind w:left="720"/>
        <w:rPr>
          <w:rFonts w:cstheme="minorHAnsi"/>
          <w:sz w:val="24"/>
          <w:szCs w:val="24"/>
        </w:rPr>
      </w:pPr>
      <w:r w:rsidRPr="003E1810">
        <w:rPr>
          <w:rFonts w:cstheme="minorHAnsi"/>
          <w:sz w:val="24"/>
          <w:szCs w:val="24"/>
        </w:rPr>
        <w:t>4.2</w:t>
      </w:r>
      <w:r w:rsidR="00A0612C" w:rsidRPr="003E1810">
        <w:rPr>
          <w:rFonts w:cstheme="minorHAnsi"/>
          <w:sz w:val="24"/>
          <w:szCs w:val="24"/>
        </w:rPr>
        <w:tab/>
        <w:t xml:space="preserve">However, as the transition towards the new arrangements </w:t>
      </w:r>
      <w:r w:rsidR="00741DFD">
        <w:rPr>
          <w:rFonts w:cstheme="minorHAnsi"/>
          <w:sz w:val="24"/>
          <w:szCs w:val="24"/>
        </w:rPr>
        <w:t>progressed, it was agreed that the Policy Analyst post was not required and work was undertaken by existing AWYA staff</w:t>
      </w:r>
      <w:r w:rsidR="00A237EC">
        <w:rPr>
          <w:rFonts w:cstheme="minorHAnsi"/>
          <w:sz w:val="24"/>
          <w:szCs w:val="24"/>
        </w:rPr>
        <w:t xml:space="preserve"> in the first instance. Some additional expert advice was commissioned to assist with the development </w:t>
      </w:r>
      <w:r w:rsidR="00E27651">
        <w:rPr>
          <w:rFonts w:cstheme="minorHAnsi"/>
          <w:sz w:val="24"/>
          <w:szCs w:val="24"/>
        </w:rPr>
        <w:t xml:space="preserve">of specific </w:t>
      </w:r>
      <w:r w:rsidR="00E27651" w:rsidRPr="003E1810">
        <w:rPr>
          <w:rFonts w:cstheme="minorHAnsi"/>
          <w:sz w:val="24"/>
          <w:szCs w:val="24"/>
        </w:rPr>
        <w:t>policies and procedures including the Partn</w:t>
      </w:r>
      <w:r w:rsidR="00E27651">
        <w:rPr>
          <w:rFonts w:cstheme="minorHAnsi"/>
          <w:sz w:val="24"/>
          <w:szCs w:val="24"/>
        </w:rPr>
        <w:t xml:space="preserve">ership agreement between the Panel and Commissioner and its constituent protocols.  </w:t>
      </w:r>
    </w:p>
    <w:p w:rsidR="00E27651" w:rsidRPr="003E1810" w:rsidRDefault="00E27651" w:rsidP="00A0612C">
      <w:pPr>
        <w:ind w:left="720"/>
        <w:rPr>
          <w:rFonts w:cstheme="minorHAnsi"/>
          <w:sz w:val="24"/>
          <w:szCs w:val="24"/>
        </w:rPr>
      </w:pPr>
    </w:p>
    <w:p w:rsidR="00E27651" w:rsidRDefault="00151F4C" w:rsidP="00E27651">
      <w:pPr>
        <w:ind w:left="720"/>
        <w:rPr>
          <w:rFonts w:cstheme="minorHAnsi"/>
          <w:sz w:val="24"/>
          <w:szCs w:val="24"/>
        </w:rPr>
      </w:pPr>
      <w:r w:rsidRPr="003E1810">
        <w:rPr>
          <w:rFonts w:cstheme="minorHAnsi"/>
          <w:sz w:val="24"/>
          <w:szCs w:val="24"/>
        </w:rPr>
        <w:t>4.4</w:t>
      </w:r>
      <w:r w:rsidR="00370E8C" w:rsidRPr="003E1810">
        <w:rPr>
          <w:rFonts w:cstheme="minorHAnsi"/>
          <w:sz w:val="24"/>
          <w:szCs w:val="24"/>
        </w:rPr>
        <w:tab/>
      </w:r>
      <w:r w:rsidR="00A237EC">
        <w:rPr>
          <w:rFonts w:cstheme="minorHAnsi"/>
          <w:sz w:val="24"/>
          <w:szCs w:val="24"/>
        </w:rPr>
        <w:t>It was, however, agreed to</w:t>
      </w:r>
      <w:r w:rsidR="00741DFD">
        <w:rPr>
          <w:rFonts w:cstheme="minorHAnsi"/>
          <w:sz w:val="24"/>
          <w:szCs w:val="24"/>
        </w:rPr>
        <w:t xml:space="preserve"> recruit a</w:t>
      </w:r>
      <w:r w:rsidR="00EB0155">
        <w:rPr>
          <w:rFonts w:cstheme="minorHAnsi"/>
          <w:sz w:val="24"/>
          <w:szCs w:val="24"/>
        </w:rPr>
        <w:t xml:space="preserve"> </w:t>
      </w:r>
      <w:r w:rsidR="00370E8C" w:rsidRPr="003E1810">
        <w:rPr>
          <w:rFonts w:cstheme="minorHAnsi"/>
          <w:sz w:val="24"/>
          <w:szCs w:val="24"/>
        </w:rPr>
        <w:t>S</w:t>
      </w:r>
      <w:r w:rsidR="00741DFD">
        <w:rPr>
          <w:rFonts w:cstheme="minorHAnsi"/>
          <w:sz w:val="24"/>
          <w:szCs w:val="24"/>
        </w:rPr>
        <w:t xml:space="preserve">crutiny/Research Officer and a part-time </w:t>
      </w:r>
      <w:r w:rsidR="00370E8C" w:rsidRPr="003E1810">
        <w:rPr>
          <w:rFonts w:cstheme="minorHAnsi"/>
          <w:sz w:val="24"/>
          <w:szCs w:val="24"/>
        </w:rPr>
        <w:t>admin</w:t>
      </w:r>
      <w:r w:rsidR="00C7042D">
        <w:rPr>
          <w:rFonts w:cstheme="minorHAnsi"/>
          <w:sz w:val="24"/>
          <w:szCs w:val="24"/>
        </w:rPr>
        <w:t>istrative</w:t>
      </w:r>
      <w:r w:rsidR="00370E8C" w:rsidRPr="003E1810">
        <w:rPr>
          <w:rFonts w:cstheme="minorHAnsi"/>
          <w:sz w:val="24"/>
          <w:szCs w:val="24"/>
        </w:rPr>
        <w:t xml:space="preserve"> post </w:t>
      </w:r>
      <w:r w:rsidR="00A237EC">
        <w:rPr>
          <w:rFonts w:cstheme="minorHAnsi"/>
          <w:sz w:val="24"/>
          <w:szCs w:val="24"/>
        </w:rPr>
        <w:t xml:space="preserve">and these two posts </w:t>
      </w:r>
      <w:r w:rsidR="00D46590">
        <w:rPr>
          <w:rFonts w:cstheme="minorHAnsi"/>
          <w:sz w:val="24"/>
          <w:szCs w:val="24"/>
        </w:rPr>
        <w:t>were fi</w:t>
      </w:r>
      <w:r w:rsidR="0032351F">
        <w:rPr>
          <w:rFonts w:cstheme="minorHAnsi"/>
          <w:sz w:val="24"/>
          <w:szCs w:val="24"/>
        </w:rPr>
        <w:t>lled in 2013.</w:t>
      </w:r>
      <w:r w:rsidR="00D46590">
        <w:rPr>
          <w:rFonts w:cstheme="minorHAnsi"/>
          <w:sz w:val="24"/>
          <w:szCs w:val="24"/>
        </w:rPr>
        <w:t xml:space="preserve"> </w:t>
      </w:r>
      <w:r w:rsidR="00075BFD">
        <w:rPr>
          <w:rFonts w:cstheme="minorHAnsi"/>
          <w:sz w:val="24"/>
          <w:szCs w:val="24"/>
        </w:rPr>
        <w:t xml:space="preserve"> </w:t>
      </w:r>
      <w:r w:rsidR="00952E79">
        <w:rPr>
          <w:rFonts w:cstheme="minorHAnsi"/>
          <w:sz w:val="24"/>
          <w:szCs w:val="24"/>
        </w:rPr>
        <w:t xml:space="preserve">Since 2013, there have been further </w:t>
      </w:r>
      <w:r w:rsidR="007C146C">
        <w:rPr>
          <w:rFonts w:cstheme="minorHAnsi"/>
          <w:sz w:val="24"/>
          <w:szCs w:val="24"/>
        </w:rPr>
        <w:t xml:space="preserve">staffing </w:t>
      </w:r>
      <w:r w:rsidR="00952E79">
        <w:rPr>
          <w:rFonts w:cstheme="minorHAnsi"/>
          <w:sz w:val="24"/>
          <w:szCs w:val="24"/>
        </w:rPr>
        <w:t xml:space="preserve">changes and the Police and Crime Panel is now supported by one full time Police and Crime Panel Officer post (filled by jobshare) with </w:t>
      </w:r>
      <w:r w:rsidR="007C146C">
        <w:rPr>
          <w:rFonts w:cstheme="minorHAnsi"/>
          <w:sz w:val="24"/>
          <w:szCs w:val="24"/>
        </w:rPr>
        <w:t xml:space="preserve">any additional </w:t>
      </w:r>
      <w:r w:rsidR="00952E79">
        <w:rPr>
          <w:rFonts w:cstheme="minorHAnsi"/>
          <w:sz w:val="24"/>
          <w:szCs w:val="24"/>
        </w:rPr>
        <w:t xml:space="preserve">support provided </w:t>
      </w:r>
      <w:r w:rsidR="007C146C">
        <w:rPr>
          <w:rFonts w:cstheme="minorHAnsi"/>
          <w:sz w:val="24"/>
          <w:szCs w:val="24"/>
        </w:rPr>
        <w:t xml:space="preserve">and funded </w:t>
      </w:r>
      <w:r w:rsidR="00952E79">
        <w:rPr>
          <w:rFonts w:cstheme="minorHAnsi"/>
          <w:sz w:val="24"/>
          <w:szCs w:val="24"/>
        </w:rPr>
        <w:t>by Wakefield Council</w:t>
      </w:r>
      <w:r w:rsidR="007C146C">
        <w:rPr>
          <w:rFonts w:cstheme="minorHAnsi"/>
          <w:sz w:val="24"/>
          <w:szCs w:val="24"/>
        </w:rPr>
        <w:t>.</w:t>
      </w:r>
    </w:p>
    <w:p w:rsidR="0032351F" w:rsidRDefault="0032351F" w:rsidP="00E27651">
      <w:pPr>
        <w:ind w:left="720"/>
        <w:rPr>
          <w:rFonts w:cstheme="minorHAnsi"/>
          <w:sz w:val="24"/>
          <w:szCs w:val="24"/>
        </w:rPr>
      </w:pPr>
    </w:p>
    <w:p w:rsidR="00D46590" w:rsidRDefault="00D46590" w:rsidP="00E27651">
      <w:pPr>
        <w:ind w:left="720"/>
        <w:rPr>
          <w:rFonts w:cstheme="minorHAnsi"/>
          <w:sz w:val="24"/>
          <w:szCs w:val="24"/>
        </w:rPr>
      </w:pPr>
    </w:p>
    <w:p w:rsidR="00B01615" w:rsidRPr="003E1810" w:rsidRDefault="00151F4C" w:rsidP="00610875">
      <w:pPr>
        <w:ind w:left="709" w:hanging="709"/>
        <w:rPr>
          <w:rFonts w:cstheme="minorHAnsi"/>
          <w:b/>
          <w:sz w:val="24"/>
          <w:szCs w:val="24"/>
        </w:rPr>
      </w:pPr>
      <w:r w:rsidRPr="003E1810">
        <w:rPr>
          <w:rFonts w:cstheme="minorHAnsi"/>
          <w:b/>
          <w:sz w:val="24"/>
          <w:szCs w:val="24"/>
        </w:rPr>
        <w:t>5</w:t>
      </w:r>
      <w:r w:rsidR="00610875" w:rsidRPr="003E1810">
        <w:rPr>
          <w:rFonts w:cstheme="minorHAnsi"/>
          <w:b/>
          <w:sz w:val="24"/>
          <w:szCs w:val="24"/>
        </w:rPr>
        <w:t>.</w:t>
      </w:r>
      <w:r w:rsidR="00610875" w:rsidRPr="003E1810">
        <w:rPr>
          <w:rFonts w:cstheme="minorHAnsi"/>
          <w:b/>
          <w:sz w:val="24"/>
          <w:szCs w:val="24"/>
        </w:rPr>
        <w:tab/>
      </w:r>
      <w:r w:rsidR="00B01615" w:rsidRPr="003E1810">
        <w:rPr>
          <w:rFonts w:cstheme="minorHAnsi"/>
          <w:b/>
          <w:sz w:val="24"/>
          <w:szCs w:val="24"/>
        </w:rPr>
        <w:t>Police and Crime Panel Costs</w:t>
      </w:r>
    </w:p>
    <w:p w:rsidR="00B01615" w:rsidRPr="003E1810" w:rsidRDefault="00B01615" w:rsidP="00B01615">
      <w:pPr>
        <w:ind w:left="720" w:firstLine="0"/>
        <w:rPr>
          <w:rFonts w:cstheme="minorHAnsi"/>
          <w:sz w:val="24"/>
          <w:szCs w:val="24"/>
        </w:rPr>
      </w:pPr>
    </w:p>
    <w:p w:rsidR="0024501F" w:rsidRPr="003E1810" w:rsidRDefault="00610875" w:rsidP="00610875">
      <w:pPr>
        <w:ind w:left="0" w:firstLine="0"/>
        <w:rPr>
          <w:rFonts w:cstheme="minorHAnsi"/>
          <w:b/>
          <w:sz w:val="24"/>
          <w:szCs w:val="24"/>
        </w:rPr>
      </w:pPr>
      <w:r w:rsidRPr="003E1810">
        <w:rPr>
          <w:rFonts w:cstheme="minorHAnsi"/>
          <w:b/>
          <w:sz w:val="24"/>
          <w:szCs w:val="24"/>
        </w:rPr>
        <w:tab/>
      </w:r>
      <w:r w:rsidR="0024501F" w:rsidRPr="003E1810">
        <w:rPr>
          <w:rFonts w:cstheme="minorHAnsi"/>
          <w:b/>
          <w:sz w:val="24"/>
          <w:szCs w:val="24"/>
        </w:rPr>
        <w:t>Panel Allowances</w:t>
      </w:r>
    </w:p>
    <w:p w:rsidR="0024501F" w:rsidRPr="003E1810" w:rsidRDefault="0024501F" w:rsidP="00B01615">
      <w:pPr>
        <w:ind w:left="720" w:firstLine="0"/>
        <w:rPr>
          <w:rFonts w:cstheme="minorHAnsi"/>
          <w:b/>
          <w:sz w:val="24"/>
          <w:szCs w:val="24"/>
        </w:rPr>
      </w:pPr>
    </w:p>
    <w:p w:rsidR="00610875" w:rsidRDefault="00151F4C" w:rsidP="00610875">
      <w:pPr>
        <w:ind w:left="720"/>
        <w:rPr>
          <w:rFonts w:ascii="Calibri" w:eastAsia="Times New Roman" w:hAnsi="Calibri" w:cs="Calibri"/>
          <w:sz w:val="24"/>
          <w:szCs w:val="24"/>
          <w:lang w:eastAsia="en-GB"/>
        </w:rPr>
      </w:pPr>
      <w:r w:rsidRPr="003E1810">
        <w:rPr>
          <w:rFonts w:ascii="Calibri" w:eastAsia="Times New Roman" w:hAnsi="Calibri" w:cs="Calibri"/>
          <w:sz w:val="24"/>
          <w:szCs w:val="24"/>
          <w:lang w:eastAsia="en-GB"/>
        </w:rPr>
        <w:t>5</w:t>
      </w:r>
      <w:r w:rsidR="00610875" w:rsidRPr="003E1810">
        <w:rPr>
          <w:rFonts w:ascii="Calibri" w:eastAsia="Times New Roman" w:hAnsi="Calibri" w:cs="Calibri"/>
          <w:sz w:val="24"/>
          <w:szCs w:val="24"/>
          <w:lang w:eastAsia="en-GB"/>
        </w:rPr>
        <w:t>.1</w:t>
      </w:r>
      <w:r w:rsidR="00610875" w:rsidRPr="003E1810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="008453F0" w:rsidRPr="003E1810">
        <w:rPr>
          <w:rFonts w:ascii="Calibri" w:eastAsia="Times New Roman" w:hAnsi="Calibri" w:cs="Calibri"/>
          <w:sz w:val="24"/>
          <w:szCs w:val="24"/>
          <w:lang w:eastAsia="en-GB"/>
        </w:rPr>
        <w:t xml:space="preserve">Each local authority is </w:t>
      </w:r>
      <w:r w:rsidR="00610875" w:rsidRPr="003E1810">
        <w:rPr>
          <w:rFonts w:ascii="Calibri" w:eastAsia="Times New Roman" w:hAnsi="Calibri" w:cs="Calibri"/>
          <w:sz w:val="24"/>
          <w:szCs w:val="24"/>
          <w:lang w:eastAsia="en-GB"/>
        </w:rPr>
        <w:t xml:space="preserve">responsible for </w:t>
      </w:r>
      <w:r w:rsidR="008453F0" w:rsidRPr="003E1810">
        <w:rPr>
          <w:rFonts w:ascii="Calibri" w:eastAsia="Times New Roman" w:hAnsi="Calibri" w:cs="Calibri"/>
          <w:sz w:val="24"/>
          <w:szCs w:val="24"/>
          <w:lang w:eastAsia="en-GB"/>
        </w:rPr>
        <w:t xml:space="preserve">making arrangements to pay an allowance to its own Panel Members. </w:t>
      </w:r>
    </w:p>
    <w:p w:rsidR="00EB0155" w:rsidRPr="003E1810" w:rsidRDefault="00EB0155" w:rsidP="00610875">
      <w:pPr>
        <w:ind w:left="720"/>
        <w:rPr>
          <w:rFonts w:ascii="Calibri" w:eastAsia="Times New Roman" w:hAnsi="Calibri" w:cs="Calibri"/>
          <w:sz w:val="24"/>
          <w:szCs w:val="24"/>
          <w:lang w:eastAsia="en-GB"/>
        </w:rPr>
      </w:pPr>
    </w:p>
    <w:p w:rsidR="00610875" w:rsidRPr="003E1810" w:rsidRDefault="00151F4C" w:rsidP="00610875">
      <w:pPr>
        <w:ind w:left="720"/>
        <w:rPr>
          <w:rFonts w:ascii="Calibri" w:eastAsia="Times New Roman" w:hAnsi="Calibri" w:cs="Calibri"/>
          <w:sz w:val="24"/>
          <w:szCs w:val="24"/>
          <w:lang w:eastAsia="en-GB"/>
        </w:rPr>
      </w:pPr>
      <w:r w:rsidRPr="003E1810">
        <w:rPr>
          <w:rFonts w:ascii="Calibri" w:eastAsia="Times New Roman" w:hAnsi="Calibri" w:cs="Calibri"/>
          <w:sz w:val="24"/>
          <w:szCs w:val="24"/>
          <w:lang w:eastAsia="en-GB"/>
        </w:rPr>
        <w:t>5</w:t>
      </w:r>
      <w:r w:rsidR="00610875" w:rsidRPr="003E1810">
        <w:rPr>
          <w:rFonts w:ascii="Calibri" w:eastAsia="Times New Roman" w:hAnsi="Calibri" w:cs="Calibri"/>
          <w:sz w:val="24"/>
          <w:szCs w:val="24"/>
          <w:lang w:eastAsia="en-GB"/>
        </w:rPr>
        <w:t>.2</w:t>
      </w:r>
      <w:r w:rsidR="00610875" w:rsidRPr="003E1810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="00D46590">
        <w:rPr>
          <w:rFonts w:ascii="Calibri" w:eastAsia="Times New Roman" w:hAnsi="Calibri" w:cs="Calibri"/>
          <w:sz w:val="24"/>
          <w:szCs w:val="24"/>
          <w:lang w:eastAsia="en-GB"/>
        </w:rPr>
        <w:t>T</w:t>
      </w:r>
      <w:r w:rsidR="008453F0" w:rsidRPr="003E1810">
        <w:rPr>
          <w:rFonts w:ascii="Calibri" w:eastAsia="Times New Roman" w:hAnsi="Calibri" w:cs="Calibri"/>
          <w:sz w:val="24"/>
          <w:szCs w:val="24"/>
          <w:lang w:eastAsia="en-GB"/>
        </w:rPr>
        <w:t xml:space="preserve">he allowance for Independent </w:t>
      </w:r>
      <w:r w:rsidR="00610875" w:rsidRPr="003E1810">
        <w:rPr>
          <w:rFonts w:ascii="Calibri" w:eastAsia="Times New Roman" w:hAnsi="Calibri" w:cs="Calibri"/>
          <w:sz w:val="24"/>
          <w:szCs w:val="24"/>
          <w:lang w:eastAsia="en-GB"/>
        </w:rPr>
        <w:t xml:space="preserve">Co-opted </w:t>
      </w:r>
      <w:r w:rsidR="008453F0" w:rsidRPr="003E1810">
        <w:rPr>
          <w:rFonts w:ascii="Calibri" w:eastAsia="Times New Roman" w:hAnsi="Calibri" w:cs="Calibri"/>
          <w:sz w:val="24"/>
          <w:szCs w:val="24"/>
          <w:lang w:eastAsia="en-GB"/>
        </w:rPr>
        <w:t>M</w:t>
      </w:r>
      <w:r w:rsidR="00C7042D">
        <w:rPr>
          <w:rFonts w:ascii="Calibri" w:eastAsia="Times New Roman" w:hAnsi="Calibri" w:cs="Calibri"/>
          <w:sz w:val="24"/>
          <w:szCs w:val="24"/>
          <w:lang w:eastAsia="en-GB"/>
        </w:rPr>
        <w:t xml:space="preserve">embers </w:t>
      </w:r>
      <w:r w:rsidR="00D46590">
        <w:rPr>
          <w:rFonts w:ascii="Calibri" w:eastAsia="Times New Roman" w:hAnsi="Calibri" w:cs="Calibri"/>
          <w:sz w:val="24"/>
          <w:szCs w:val="24"/>
          <w:lang w:eastAsia="en-GB"/>
        </w:rPr>
        <w:t xml:space="preserve">is </w:t>
      </w:r>
      <w:r w:rsidR="00C7042D">
        <w:rPr>
          <w:rFonts w:ascii="Calibri" w:eastAsia="Times New Roman" w:hAnsi="Calibri" w:cs="Calibri"/>
          <w:sz w:val="24"/>
          <w:szCs w:val="24"/>
          <w:lang w:eastAsia="en-GB"/>
        </w:rPr>
        <w:t>paid from the Panel</w:t>
      </w:r>
      <w:r w:rsidR="008453F0" w:rsidRPr="003E1810">
        <w:rPr>
          <w:rFonts w:ascii="Calibri" w:eastAsia="Times New Roman" w:hAnsi="Calibri" w:cs="Calibri"/>
          <w:sz w:val="24"/>
          <w:szCs w:val="24"/>
          <w:lang w:eastAsia="en-GB"/>
        </w:rPr>
        <w:t xml:space="preserve"> budget, made up of the Government Grant and Local Authority contributions.  </w:t>
      </w:r>
    </w:p>
    <w:p w:rsidR="00610875" w:rsidRDefault="00610875" w:rsidP="00610875">
      <w:pPr>
        <w:ind w:left="720"/>
        <w:rPr>
          <w:rFonts w:ascii="Calibri" w:eastAsia="Times New Roman" w:hAnsi="Calibri" w:cs="Calibri"/>
          <w:sz w:val="24"/>
          <w:szCs w:val="24"/>
          <w:lang w:eastAsia="en-GB"/>
        </w:rPr>
      </w:pPr>
    </w:p>
    <w:p w:rsidR="00392293" w:rsidRDefault="00392293" w:rsidP="00610875">
      <w:pPr>
        <w:ind w:left="720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5.3</w:t>
      </w:r>
      <w:r>
        <w:rPr>
          <w:rFonts w:ascii="Calibri" w:eastAsia="Times New Roman" w:hAnsi="Calibri" w:cs="Calibri"/>
          <w:sz w:val="24"/>
          <w:szCs w:val="24"/>
          <w:lang w:eastAsia="en-GB"/>
        </w:rPr>
        <w:tab/>
        <w:t xml:space="preserve">It </w:t>
      </w:r>
      <w:r w:rsidR="00075BFD">
        <w:rPr>
          <w:rFonts w:ascii="Calibri" w:eastAsia="Times New Roman" w:hAnsi="Calibri" w:cs="Calibri"/>
          <w:sz w:val="24"/>
          <w:szCs w:val="24"/>
          <w:lang w:eastAsia="en-GB"/>
        </w:rPr>
        <w:t xml:space="preserve">was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always the intention that allowances for Panel members </w:t>
      </w:r>
      <w:r w:rsidR="00075BFD">
        <w:rPr>
          <w:rFonts w:ascii="Calibri" w:eastAsia="Times New Roman" w:hAnsi="Calibri" w:cs="Calibri"/>
          <w:sz w:val="24"/>
          <w:szCs w:val="24"/>
          <w:lang w:eastAsia="en-GB"/>
        </w:rPr>
        <w:t>sh</w:t>
      </w:r>
      <w:r>
        <w:rPr>
          <w:rFonts w:ascii="Calibri" w:eastAsia="Times New Roman" w:hAnsi="Calibri" w:cs="Calibri"/>
          <w:sz w:val="24"/>
          <w:szCs w:val="24"/>
          <w:lang w:eastAsia="en-GB"/>
        </w:rPr>
        <w:t>ould be reviewed once a clearer picture of the role and time commitment req</w:t>
      </w:r>
      <w:r w:rsidR="00075BFD">
        <w:rPr>
          <w:rFonts w:ascii="Calibri" w:eastAsia="Times New Roman" w:hAnsi="Calibri" w:cs="Calibri"/>
          <w:sz w:val="24"/>
          <w:szCs w:val="24"/>
          <w:lang w:eastAsia="en-GB"/>
        </w:rPr>
        <w:t>uired by members of the Panel was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understood.</w:t>
      </w:r>
      <w:r w:rsidR="00D46590">
        <w:rPr>
          <w:rFonts w:ascii="Calibri" w:eastAsia="Times New Roman" w:hAnsi="Calibri" w:cs="Calibri"/>
          <w:sz w:val="24"/>
          <w:szCs w:val="24"/>
          <w:lang w:eastAsia="en-GB"/>
        </w:rPr>
        <w:t xml:space="preserve">  This review is currently underway and the recommendations of the West Yorkshire wide panel are due before the end of June. </w:t>
      </w:r>
    </w:p>
    <w:p w:rsidR="00D46590" w:rsidRPr="003E1810" w:rsidRDefault="00D46590" w:rsidP="00610875">
      <w:pPr>
        <w:ind w:left="720"/>
        <w:rPr>
          <w:rFonts w:ascii="Calibri" w:eastAsia="Times New Roman" w:hAnsi="Calibri" w:cs="Calibri"/>
          <w:sz w:val="24"/>
          <w:szCs w:val="24"/>
          <w:lang w:eastAsia="en-GB"/>
        </w:rPr>
      </w:pPr>
    </w:p>
    <w:p w:rsidR="0024501F" w:rsidRPr="003E1810" w:rsidRDefault="00AA29BE" w:rsidP="00AA29BE">
      <w:pPr>
        <w:ind w:left="0" w:firstLine="0"/>
        <w:rPr>
          <w:rFonts w:ascii="Calibri" w:eastAsia="Times New Roman" w:hAnsi="Calibri" w:cs="Calibri"/>
          <w:b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ab/>
      </w:r>
      <w:r w:rsidR="0024501F" w:rsidRPr="003E1810">
        <w:rPr>
          <w:rFonts w:ascii="Calibri" w:eastAsia="Times New Roman" w:hAnsi="Calibri" w:cs="Calibri"/>
          <w:b/>
          <w:sz w:val="24"/>
          <w:szCs w:val="24"/>
          <w:lang w:eastAsia="en-GB"/>
        </w:rPr>
        <w:t>Panel Expenses</w:t>
      </w:r>
    </w:p>
    <w:p w:rsidR="008453F0" w:rsidRPr="003E1810" w:rsidRDefault="008453F0" w:rsidP="008453F0">
      <w:pPr>
        <w:ind w:left="0" w:firstLine="0"/>
        <w:rPr>
          <w:rFonts w:ascii="Calibri" w:eastAsia="Times New Roman" w:hAnsi="Calibri" w:cs="Calibri"/>
          <w:b/>
          <w:sz w:val="24"/>
          <w:szCs w:val="24"/>
          <w:lang w:eastAsia="en-GB"/>
        </w:rPr>
      </w:pPr>
    </w:p>
    <w:p w:rsidR="00132B53" w:rsidRDefault="004B6B2F" w:rsidP="00EC2DD5">
      <w:pPr>
        <w:ind w:left="720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5</w:t>
      </w:r>
      <w:r w:rsidR="00AA29BE">
        <w:rPr>
          <w:rFonts w:ascii="Calibri" w:eastAsia="Times New Roman" w:hAnsi="Calibri" w:cs="Calibri"/>
          <w:sz w:val="24"/>
          <w:szCs w:val="24"/>
          <w:lang w:eastAsia="en-GB"/>
        </w:rPr>
        <w:t>.</w:t>
      </w:r>
      <w:r w:rsidR="00EC2DD5" w:rsidRPr="003E1810">
        <w:rPr>
          <w:rFonts w:ascii="Calibri" w:eastAsia="Times New Roman" w:hAnsi="Calibri" w:cs="Calibri"/>
          <w:sz w:val="24"/>
          <w:szCs w:val="24"/>
          <w:lang w:eastAsia="en-GB"/>
        </w:rPr>
        <w:t>4</w:t>
      </w:r>
      <w:r w:rsidR="00EC2DD5" w:rsidRPr="003E1810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="00132B53" w:rsidRPr="00132B53">
        <w:rPr>
          <w:rFonts w:ascii="Calibri" w:eastAsia="Times New Roman" w:hAnsi="Calibri" w:cs="Calibri"/>
          <w:sz w:val="24"/>
          <w:szCs w:val="24"/>
          <w:lang w:eastAsia="en-GB"/>
        </w:rPr>
        <w:t xml:space="preserve">Where Panel members receive an allowance, they </w:t>
      </w:r>
      <w:r w:rsidR="00D46590">
        <w:rPr>
          <w:rFonts w:ascii="Calibri" w:eastAsia="Times New Roman" w:hAnsi="Calibri" w:cs="Calibri"/>
          <w:sz w:val="24"/>
          <w:szCs w:val="24"/>
          <w:lang w:eastAsia="en-GB"/>
        </w:rPr>
        <w:t xml:space="preserve">do </w:t>
      </w:r>
      <w:r w:rsidR="00132B53" w:rsidRPr="00132B53">
        <w:rPr>
          <w:rFonts w:ascii="Calibri" w:eastAsia="Times New Roman" w:hAnsi="Calibri" w:cs="Calibri"/>
          <w:sz w:val="24"/>
          <w:szCs w:val="24"/>
          <w:lang w:eastAsia="en-GB"/>
        </w:rPr>
        <w:t xml:space="preserve">not receive additional out of pocket expenses unless the Panel Members is partaking in duties outside of West Yorkshire or in other exceptional circumstances. </w:t>
      </w:r>
    </w:p>
    <w:p w:rsidR="00132B53" w:rsidRDefault="00132B53" w:rsidP="00EC2DD5">
      <w:pPr>
        <w:ind w:left="720"/>
        <w:rPr>
          <w:rFonts w:ascii="Calibri" w:eastAsia="Times New Roman" w:hAnsi="Calibri" w:cs="Calibri"/>
          <w:sz w:val="24"/>
          <w:szCs w:val="24"/>
          <w:lang w:eastAsia="en-GB"/>
        </w:rPr>
      </w:pPr>
    </w:p>
    <w:p w:rsidR="00A0612C" w:rsidRDefault="004B6B2F" w:rsidP="00132B53">
      <w:pPr>
        <w:ind w:left="720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5</w:t>
      </w:r>
      <w:r w:rsidR="00151F4C" w:rsidRPr="003E1810">
        <w:rPr>
          <w:rFonts w:ascii="Calibri" w:eastAsia="Times New Roman" w:hAnsi="Calibri" w:cs="Calibri"/>
          <w:sz w:val="24"/>
          <w:szCs w:val="24"/>
          <w:lang w:eastAsia="en-GB"/>
        </w:rPr>
        <w:t>.</w:t>
      </w:r>
      <w:r w:rsidR="00EC2DD5" w:rsidRPr="003E1810">
        <w:rPr>
          <w:rFonts w:ascii="Calibri" w:eastAsia="Times New Roman" w:hAnsi="Calibri" w:cs="Calibri"/>
          <w:sz w:val="24"/>
          <w:szCs w:val="24"/>
          <w:lang w:eastAsia="en-GB"/>
        </w:rPr>
        <w:t>5</w:t>
      </w:r>
      <w:r w:rsidR="00EC2DD5" w:rsidRPr="003E1810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="00132B53">
        <w:rPr>
          <w:rFonts w:ascii="Calibri" w:eastAsia="Times New Roman" w:hAnsi="Calibri" w:cs="Calibri"/>
          <w:sz w:val="24"/>
          <w:szCs w:val="24"/>
          <w:lang w:eastAsia="en-GB"/>
        </w:rPr>
        <w:t xml:space="preserve">If Panel members do not receive an allowance from their authority, </w:t>
      </w:r>
      <w:r w:rsidR="00DE6CA9">
        <w:rPr>
          <w:rFonts w:ascii="Calibri" w:eastAsia="Times New Roman" w:hAnsi="Calibri" w:cs="Calibri"/>
          <w:sz w:val="24"/>
          <w:szCs w:val="24"/>
          <w:lang w:eastAsia="en-GB"/>
        </w:rPr>
        <w:t>expenses can be claimed.</w:t>
      </w:r>
    </w:p>
    <w:p w:rsidR="00E36A9B" w:rsidRDefault="00E36A9B" w:rsidP="00132B53">
      <w:pPr>
        <w:ind w:left="720"/>
        <w:rPr>
          <w:rFonts w:ascii="Calibri" w:eastAsia="Times New Roman" w:hAnsi="Calibri" w:cs="Calibri"/>
          <w:sz w:val="24"/>
          <w:szCs w:val="24"/>
          <w:lang w:eastAsia="en-GB"/>
        </w:rPr>
      </w:pPr>
    </w:p>
    <w:p w:rsidR="004B6B2F" w:rsidRDefault="004B6B2F" w:rsidP="00132B53">
      <w:pPr>
        <w:ind w:left="720"/>
        <w:rPr>
          <w:rFonts w:ascii="Calibri" w:eastAsia="Times New Roman" w:hAnsi="Calibri" w:cs="Calibri"/>
          <w:sz w:val="24"/>
          <w:szCs w:val="24"/>
          <w:lang w:eastAsia="en-GB"/>
        </w:rPr>
      </w:pPr>
    </w:p>
    <w:p w:rsidR="00E36A9B" w:rsidRDefault="004B6B2F" w:rsidP="00132B53">
      <w:pPr>
        <w:ind w:left="720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sz w:val="24"/>
          <w:szCs w:val="24"/>
          <w:lang w:eastAsia="en-GB"/>
        </w:rPr>
        <w:t>6</w:t>
      </w:r>
      <w:r w:rsidR="00E36A9B">
        <w:rPr>
          <w:rFonts w:ascii="Calibri" w:eastAsia="Times New Roman" w:hAnsi="Calibri" w:cs="Calibri"/>
          <w:b/>
          <w:sz w:val="24"/>
          <w:szCs w:val="24"/>
          <w:lang w:eastAsia="en-GB"/>
        </w:rPr>
        <w:t>.</w:t>
      </w:r>
      <w:r w:rsidR="00E36A9B">
        <w:rPr>
          <w:rFonts w:ascii="Calibri" w:eastAsia="Times New Roman" w:hAnsi="Calibri" w:cs="Calibri"/>
          <w:b/>
          <w:sz w:val="24"/>
          <w:szCs w:val="24"/>
          <w:lang w:eastAsia="en-GB"/>
        </w:rPr>
        <w:tab/>
        <w:t>Future Local Authority Contributions</w:t>
      </w:r>
    </w:p>
    <w:p w:rsidR="00E36A9B" w:rsidRDefault="00E36A9B" w:rsidP="00132B53">
      <w:pPr>
        <w:ind w:left="720"/>
        <w:rPr>
          <w:rFonts w:ascii="Calibri" w:eastAsia="Times New Roman" w:hAnsi="Calibri" w:cs="Calibri"/>
          <w:sz w:val="24"/>
          <w:szCs w:val="24"/>
          <w:lang w:eastAsia="en-GB"/>
        </w:rPr>
      </w:pPr>
    </w:p>
    <w:p w:rsidR="00EC2DD5" w:rsidRDefault="004B6B2F" w:rsidP="00E36A9B">
      <w:pPr>
        <w:ind w:left="720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6</w:t>
      </w:r>
      <w:r w:rsidR="00392293">
        <w:rPr>
          <w:rFonts w:ascii="Calibri" w:eastAsia="Times New Roman" w:hAnsi="Calibri" w:cs="Calibri"/>
          <w:sz w:val="24"/>
          <w:szCs w:val="24"/>
          <w:lang w:eastAsia="en-GB"/>
        </w:rPr>
        <w:t>.1</w:t>
      </w:r>
      <w:r w:rsidR="00E36A9B">
        <w:rPr>
          <w:rFonts w:ascii="Calibri" w:eastAsia="Times New Roman" w:hAnsi="Calibri" w:cs="Calibri"/>
          <w:sz w:val="24"/>
          <w:szCs w:val="24"/>
          <w:lang w:eastAsia="en-GB"/>
        </w:rPr>
        <w:tab/>
      </w:r>
      <w:r w:rsidR="00F71D36">
        <w:rPr>
          <w:rFonts w:ascii="Calibri" w:eastAsia="Times New Roman" w:hAnsi="Calibri" w:cs="Calibri"/>
          <w:sz w:val="24"/>
          <w:szCs w:val="24"/>
          <w:lang w:eastAsia="en-GB"/>
        </w:rPr>
        <w:t xml:space="preserve">Following the decision not to appoint a Policy Analyst and as </w:t>
      </w:r>
      <w:r w:rsidR="00E36A9B">
        <w:rPr>
          <w:rFonts w:ascii="Calibri" w:eastAsia="Times New Roman" w:hAnsi="Calibri" w:cs="Calibri"/>
          <w:sz w:val="24"/>
          <w:szCs w:val="24"/>
          <w:lang w:eastAsia="en-GB"/>
        </w:rPr>
        <w:t xml:space="preserve">the recruitment of </w:t>
      </w:r>
      <w:r w:rsidR="00F71D36">
        <w:rPr>
          <w:rFonts w:ascii="Calibri" w:eastAsia="Times New Roman" w:hAnsi="Calibri" w:cs="Calibri"/>
          <w:sz w:val="24"/>
          <w:szCs w:val="24"/>
          <w:lang w:eastAsia="en-GB"/>
        </w:rPr>
        <w:t xml:space="preserve">other </w:t>
      </w:r>
      <w:r w:rsidR="00E36A9B">
        <w:rPr>
          <w:rFonts w:ascii="Calibri" w:eastAsia="Times New Roman" w:hAnsi="Calibri" w:cs="Calibri"/>
          <w:sz w:val="24"/>
          <w:szCs w:val="24"/>
          <w:lang w:eastAsia="en-GB"/>
        </w:rPr>
        <w:t>staff did not take place within the first year of the Panel’s establishment</w:t>
      </w:r>
      <w:r w:rsidR="00F71D36">
        <w:rPr>
          <w:rFonts w:ascii="Calibri" w:eastAsia="Times New Roman" w:hAnsi="Calibri" w:cs="Calibri"/>
          <w:sz w:val="24"/>
          <w:szCs w:val="24"/>
          <w:lang w:eastAsia="en-GB"/>
        </w:rPr>
        <w:t xml:space="preserve">, </w:t>
      </w:r>
      <w:r w:rsidR="00E36A9B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E36A9B">
        <w:rPr>
          <w:rFonts w:ascii="Calibri" w:eastAsia="Times New Roman" w:hAnsi="Calibri" w:cs="Calibri"/>
          <w:sz w:val="24"/>
          <w:szCs w:val="24"/>
          <w:lang w:eastAsia="en-GB"/>
        </w:rPr>
        <w:lastRenderedPageBreak/>
        <w:t xml:space="preserve">staffing costs were, in effect, picked up by the AWYA, </w:t>
      </w:r>
      <w:r w:rsidR="00F71D36">
        <w:rPr>
          <w:rFonts w:ascii="Calibri" w:eastAsia="Times New Roman" w:hAnsi="Calibri" w:cs="Calibri"/>
          <w:sz w:val="24"/>
          <w:szCs w:val="24"/>
          <w:lang w:eastAsia="en-GB"/>
        </w:rPr>
        <w:t>resulting in</w:t>
      </w:r>
      <w:r w:rsidR="00F70CAB">
        <w:rPr>
          <w:rFonts w:ascii="Calibri" w:eastAsia="Times New Roman" w:hAnsi="Calibri" w:cs="Calibri"/>
          <w:sz w:val="24"/>
          <w:szCs w:val="24"/>
          <w:lang w:eastAsia="en-GB"/>
        </w:rPr>
        <w:t xml:space="preserve"> a significant underspend within the budget for 2012/13. </w:t>
      </w:r>
    </w:p>
    <w:p w:rsidR="00E36A9B" w:rsidRDefault="00E36A9B" w:rsidP="00E36A9B">
      <w:pPr>
        <w:ind w:left="720"/>
        <w:rPr>
          <w:rFonts w:cstheme="minorHAnsi"/>
          <w:sz w:val="24"/>
          <w:szCs w:val="24"/>
        </w:rPr>
      </w:pPr>
    </w:p>
    <w:p w:rsidR="00F2080C" w:rsidRDefault="004B6B2F" w:rsidP="00E36A9B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="00392293">
        <w:rPr>
          <w:rFonts w:cstheme="minorHAnsi"/>
          <w:sz w:val="24"/>
          <w:szCs w:val="24"/>
        </w:rPr>
        <w:t>.2</w:t>
      </w:r>
      <w:r w:rsidR="00F70CAB">
        <w:rPr>
          <w:rFonts w:cstheme="minorHAnsi"/>
          <w:sz w:val="24"/>
          <w:szCs w:val="24"/>
        </w:rPr>
        <w:tab/>
      </w:r>
      <w:r w:rsidR="00D00B4B">
        <w:rPr>
          <w:rFonts w:cstheme="minorHAnsi"/>
          <w:sz w:val="24"/>
          <w:szCs w:val="24"/>
        </w:rPr>
        <w:t xml:space="preserve">In light of this underspend, the </w:t>
      </w:r>
      <w:r w:rsidR="00392293">
        <w:rPr>
          <w:rFonts w:cstheme="minorHAnsi"/>
          <w:sz w:val="24"/>
          <w:szCs w:val="24"/>
        </w:rPr>
        <w:t>West Yorkshire Leaders,</w:t>
      </w:r>
      <w:r w:rsidR="00D00B4B">
        <w:rPr>
          <w:rFonts w:cstheme="minorHAnsi"/>
          <w:sz w:val="24"/>
          <w:szCs w:val="24"/>
        </w:rPr>
        <w:t xml:space="preserve"> </w:t>
      </w:r>
      <w:r w:rsidR="00D46590">
        <w:rPr>
          <w:rFonts w:cstheme="minorHAnsi"/>
          <w:sz w:val="24"/>
          <w:szCs w:val="24"/>
        </w:rPr>
        <w:t>agreed to suspend the local authority contributions for 2013/14</w:t>
      </w:r>
      <w:r w:rsidR="00392293">
        <w:rPr>
          <w:rFonts w:cstheme="minorHAnsi"/>
          <w:sz w:val="24"/>
          <w:szCs w:val="24"/>
        </w:rPr>
        <w:t xml:space="preserve"> </w:t>
      </w:r>
      <w:r w:rsidR="00F2080C">
        <w:rPr>
          <w:rFonts w:cstheme="minorHAnsi"/>
          <w:sz w:val="24"/>
          <w:szCs w:val="24"/>
        </w:rPr>
        <w:t xml:space="preserve">and that local authority contributions for 2014/15 would be </w:t>
      </w:r>
      <w:r w:rsidR="007C146C">
        <w:rPr>
          <w:rFonts w:cstheme="minorHAnsi"/>
          <w:sz w:val="24"/>
          <w:szCs w:val="24"/>
        </w:rPr>
        <w:t xml:space="preserve">funded </w:t>
      </w:r>
      <w:r w:rsidR="00F2080C">
        <w:rPr>
          <w:rFonts w:cstheme="minorHAnsi"/>
          <w:sz w:val="24"/>
          <w:szCs w:val="24"/>
        </w:rPr>
        <w:t xml:space="preserve">at a lower level of £6k per authority.  </w:t>
      </w:r>
    </w:p>
    <w:p w:rsidR="00F2080C" w:rsidRDefault="00F2080C" w:rsidP="00E36A9B">
      <w:pPr>
        <w:ind w:left="720"/>
        <w:rPr>
          <w:rFonts w:cstheme="minorHAnsi"/>
          <w:sz w:val="24"/>
          <w:szCs w:val="24"/>
        </w:rPr>
      </w:pPr>
    </w:p>
    <w:p w:rsidR="00F2080C" w:rsidRPr="0032351F" w:rsidRDefault="0032351F" w:rsidP="00E36A9B">
      <w:pPr>
        <w:ind w:left="720"/>
        <w:rPr>
          <w:rFonts w:cstheme="minorHAnsi"/>
          <w:b/>
          <w:sz w:val="24"/>
          <w:szCs w:val="24"/>
        </w:rPr>
      </w:pPr>
      <w:r w:rsidRPr="0032351F">
        <w:rPr>
          <w:rFonts w:cstheme="minorHAnsi"/>
          <w:b/>
          <w:sz w:val="24"/>
          <w:szCs w:val="24"/>
        </w:rPr>
        <w:t>7.0</w:t>
      </w:r>
      <w:r w:rsidRPr="0032351F">
        <w:rPr>
          <w:rFonts w:cstheme="minorHAnsi"/>
          <w:b/>
          <w:sz w:val="24"/>
          <w:szCs w:val="24"/>
        </w:rPr>
        <w:tab/>
      </w:r>
      <w:r w:rsidR="00F2080C" w:rsidRPr="0032351F">
        <w:rPr>
          <w:rFonts w:cstheme="minorHAnsi"/>
          <w:b/>
          <w:sz w:val="24"/>
          <w:szCs w:val="24"/>
        </w:rPr>
        <w:t>Current Position</w:t>
      </w:r>
    </w:p>
    <w:p w:rsidR="00F2080C" w:rsidRDefault="00F2080C" w:rsidP="00E36A9B">
      <w:pPr>
        <w:ind w:left="720"/>
        <w:rPr>
          <w:rFonts w:cstheme="minorHAnsi"/>
          <w:sz w:val="24"/>
          <w:szCs w:val="24"/>
        </w:rPr>
      </w:pPr>
    </w:p>
    <w:p w:rsidR="00F2080C" w:rsidRDefault="007C146C" w:rsidP="00E36A9B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7.1</w:t>
      </w:r>
      <w:r w:rsidR="00F2080C">
        <w:rPr>
          <w:rFonts w:cstheme="minorHAnsi"/>
          <w:sz w:val="24"/>
          <w:szCs w:val="24"/>
        </w:rPr>
        <w:tab/>
        <w:t xml:space="preserve">Due to a number of factors, including </w:t>
      </w:r>
      <w:r w:rsidR="00075BFD">
        <w:rPr>
          <w:rFonts w:cstheme="minorHAnsi"/>
          <w:sz w:val="24"/>
          <w:szCs w:val="24"/>
        </w:rPr>
        <w:t xml:space="preserve">further </w:t>
      </w:r>
      <w:r w:rsidR="00F2080C">
        <w:rPr>
          <w:rFonts w:cstheme="minorHAnsi"/>
          <w:sz w:val="24"/>
          <w:szCs w:val="24"/>
        </w:rPr>
        <w:t>staffing changes which have resulted in the loss of the part time admin assistant and a half time vacancy for the Police and Crime Panel Officer role, there have again been savings within the Police and Crime Panel budget over 2013/14.</w:t>
      </w:r>
    </w:p>
    <w:p w:rsidR="00F2080C" w:rsidRDefault="00F2080C" w:rsidP="00E36A9B">
      <w:pPr>
        <w:ind w:left="720"/>
        <w:rPr>
          <w:rFonts w:cstheme="minorHAnsi"/>
          <w:sz w:val="24"/>
          <w:szCs w:val="24"/>
        </w:rPr>
      </w:pPr>
    </w:p>
    <w:p w:rsidR="00F2080C" w:rsidRDefault="007C146C" w:rsidP="00E36A9B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7.2</w:t>
      </w:r>
      <w:r w:rsidR="00F2080C">
        <w:rPr>
          <w:rFonts w:cstheme="minorHAnsi"/>
          <w:sz w:val="24"/>
          <w:szCs w:val="24"/>
        </w:rPr>
        <w:tab/>
        <w:t>As a result of the savings, the underspend that had been accrued has rolled forward into 2014/15.</w:t>
      </w:r>
    </w:p>
    <w:p w:rsidR="00F2080C" w:rsidRDefault="00F2080C" w:rsidP="00E36A9B">
      <w:pPr>
        <w:ind w:left="720"/>
        <w:rPr>
          <w:rFonts w:cstheme="minorHAnsi"/>
          <w:sz w:val="24"/>
          <w:szCs w:val="24"/>
        </w:rPr>
      </w:pPr>
    </w:p>
    <w:p w:rsidR="00F2080C" w:rsidRDefault="007C146C" w:rsidP="00E36A9B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7.3</w:t>
      </w:r>
      <w:r w:rsidR="00F2080C">
        <w:rPr>
          <w:rFonts w:cstheme="minorHAnsi"/>
          <w:sz w:val="24"/>
          <w:szCs w:val="24"/>
        </w:rPr>
        <w:tab/>
        <w:t>It has been agreed not to fill the part-time admin vacancy and the half time Pol</w:t>
      </w:r>
      <w:r>
        <w:rPr>
          <w:rFonts w:cstheme="minorHAnsi"/>
          <w:sz w:val="24"/>
          <w:szCs w:val="24"/>
        </w:rPr>
        <w:t xml:space="preserve">ice and Crime Panel Officer vacancy is currently is being </w:t>
      </w:r>
      <w:r w:rsidR="00F2080C">
        <w:rPr>
          <w:rFonts w:cstheme="minorHAnsi"/>
          <w:sz w:val="24"/>
          <w:szCs w:val="24"/>
        </w:rPr>
        <w:t>appointed to.</w:t>
      </w:r>
    </w:p>
    <w:p w:rsidR="00F2080C" w:rsidRDefault="00F2080C" w:rsidP="00E36A9B">
      <w:pPr>
        <w:ind w:left="720"/>
        <w:rPr>
          <w:rFonts w:cstheme="minorHAnsi"/>
          <w:sz w:val="24"/>
          <w:szCs w:val="24"/>
        </w:rPr>
      </w:pPr>
    </w:p>
    <w:p w:rsidR="005B3338" w:rsidRDefault="007C146C" w:rsidP="00E36A9B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7.4</w:t>
      </w:r>
      <w:r w:rsidR="005B3338">
        <w:rPr>
          <w:rFonts w:cstheme="minorHAnsi"/>
          <w:sz w:val="24"/>
          <w:szCs w:val="24"/>
        </w:rPr>
        <w:tab/>
        <w:t xml:space="preserve">With the current staffing levels, the Home Office funding now covers core funding of the Police and Crime Panel.  </w:t>
      </w:r>
      <w:r w:rsidR="0072499A">
        <w:rPr>
          <w:rFonts w:cstheme="minorHAnsi"/>
          <w:sz w:val="24"/>
          <w:szCs w:val="24"/>
        </w:rPr>
        <w:t xml:space="preserve">A contingency for additional legal costs if additional support in this area is required, has been included </w:t>
      </w:r>
      <w:r w:rsidR="00952E79">
        <w:rPr>
          <w:rFonts w:cstheme="minorHAnsi"/>
          <w:sz w:val="24"/>
          <w:szCs w:val="24"/>
        </w:rPr>
        <w:t>and if required will be covered by the underspend.</w:t>
      </w:r>
    </w:p>
    <w:p w:rsidR="0032351F" w:rsidRDefault="0032351F" w:rsidP="00E36A9B">
      <w:pPr>
        <w:ind w:left="720"/>
        <w:rPr>
          <w:rFonts w:cstheme="minorHAnsi"/>
          <w:sz w:val="24"/>
          <w:szCs w:val="24"/>
        </w:rPr>
      </w:pPr>
    </w:p>
    <w:p w:rsidR="0032351F" w:rsidRDefault="007C146C" w:rsidP="00E36A9B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7.5</w:t>
      </w:r>
      <w:r w:rsidR="0032351F">
        <w:rPr>
          <w:rFonts w:cstheme="minorHAnsi"/>
          <w:sz w:val="24"/>
          <w:szCs w:val="24"/>
        </w:rPr>
        <w:tab/>
        <w:t xml:space="preserve">One unknown for the budget going forward, is a possible change to the level of allowances for members.  The Police and Crime Panel budget funds allowances for the two independent Panel Members. </w:t>
      </w:r>
      <w:r>
        <w:rPr>
          <w:rFonts w:cstheme="minorHAnsi"/>
          <w:sz w:val="24"/>
          <w:szCs w:val="24"/>
        </w:rPr>
        <w:t xml:space="preserve"> However, the healthy level of balances would cover any significant change for 2014/15.</w:t>
      </w:r>
    </w:p>
    <w:p w:rsidR="0032351F" w:rsidRDefault="0032351F" w:rsidP="00E36A9B">
      <w:pPr>
        <w:ind w:left="720"/>
        <w:rPr>
          <w:rFonts w:cstheme="minorHAnsi"/>
          <w:sz w:val="24"/>
          <w:szCs w:val="24"/>
        </w:rPr>
      </w:pPr>
    </w:p>
    <w:p w:rsidR="0032351F" w:rsidRDefault="007C146C" w:rsidP="00E36A9B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7.6</w:t>
      </w:r>
      <w:r w:rsidR="0032351F">
        <w:rPr>
          <w:rFonts w:cstheme="minorHAnsi"/>
          <w:sz w:val="24"/>
          <w:szCs w:val="24"/>
        </w:rPr>
        <w:tab/>
        <w:t xml:space="preserve">In view of the savings that have been made and the amount that has accrued in the Panel budget, it is not </w:t>
      </w:r>
      <w:r>
        <w:rPr>
          <w:rFonts w:cstheme="minorHAnsi"/>
          <w:sz w:val="24"/>
          <w:szCs w:val="24"/>
        </w:rPr>
        <w:t xml:space="preserve">felt </w:t>
      </w:r>
      <w:r w:rsidR="0032351F">
        <w:rPr>
          <w:rFonts w:cstheme="minorHAnsi"/>
          <w:sz w:val="24"/>
          <w:szCs w:val="24"/>
        </w:rPr>
        <w:t>necessary for local authority contributions to be made for 2014/15.</w:t>
      </w:r>
    </w:p>
    <w:p w:rsidR="0032351F" w:rsidRDefault="0032351F" w:rsidP="00E36A9B">
      <w:pPr>
        <w:ind w:left="720"/>
        <w:rPr>
          <w:rFonts w:cstheme="minorHAnsi"/>
          <w:sz w:val="24"/>
          <w:szCs w:val="24"/>
        </w:rPr>
      </w:pPr>
    </w:p>
    <w:p w:rsidR="003D68A8" w:rsidRPr="003E1810" w:rsidRDefault="007C146C" w:rsidP="00392293">
      <w:pPr>
        <w:ind w:left="7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="00151F4C" w:rsidRPr="003E1810">
        <w:rPr>
          <w:rFonts w:cstheme="minorHAnsi"/>
          <w:b/>
          <w:sz w:val="24"/>
          <w:szCs w:val="24"/>
        </w:rPr>
        <w:t>.0</w:t>
      </w:r>
      <w:r w:rsidR="00151F4C" w:rsidRPr="003E1810">
        <w:rPr>
          <w:rFonts w:cstheme="minorHAnsi"/>
          <w:b/>
          <w:sz w:val="24"/>
          <w:szCs w:val="24"/>
        </w:rPr>
        <w:tab/>
      </w:r>
      <w:r w:rsidR="003D68A8" w:rsidRPr="003E1810">
        <w:rPr>
          <w:rFonts w:cstheme="minorHAnsi"/>
          <w:b/>
          <w:sz w:val="24"/>
          <w:szCs w:val="24"/>
        </w:rPr>
        <w:t>Recommendations:</w:t>
      </w:r>
    </w:p>
    <w:p w:rsidR="00151F4C" w:rsidRDefault="00151F4C" w:rsidP="00151F4C">
      <w:pPr>
        <w:ind w:left="709" w:hanging="709"/>
        <w:rPr>
          <w:rFonts w:cstheme="minorHAnsi"/>
          <w:b/>
          <w:sz w:val="24"/>
          <w:szCs w:val="24"/>
        </w:rPr>
      </w:pPr>
    </w:p>
    <w:p w:rsidR="00151F4C" w:rsidRPr="003E1810" w:rsidRDefault="00151F4C" w:rsidP="00151F4C">
      <w:pPr>
        <w:ind w:left="709" w:hanging="709"/>
        <w:rPr>
          <w:rFonts w:cstheme="minorHAnsi"/>
          <w:sz w:val="24"/>
          <w:szCs w:val="24"/>
        </w:rPr>
      </w:pPr>
      <w:r w:rsidRPr="003E1810">
        <w:rPr>
          <w:rFonts w:cstheme="minorHAnsi"/>
          <w:b/>
          <w:sz w:val="24"/>
          <w:szCs w:val="24"/>
        </w:rPr>
        <w:tab/>
      </w:r>
      <w:r w:rsidRPr="003E1810">
        <w:rPr>
          <w:rFonts w:cstheme="minorHAnsi"/>
          <w:sz w:val="24"/>
          <w:szCs w:val="24"/>
        </w:rPr>
        <w:t>The Panel is asked to:</w:t>
      </w:r>
    </w:p>
    <w:p w:rsidR="00151F4C" w:rsidRPr="003E1810" w:rsidRDefault="00151F4C" w:rsidP="00151F4C">
      <w:pPr>
        <w:ind w:left="709" w:hanging="709"/>
        <w:rPr>
          <w:rFonts w:cstheme="minorHAnsi"/>
          <w:sz w:val="24"/>
          <w:szCs w:val="24"/>
        </w:rPr>
      </w:pPr>
    </w:p>
    <w:p w:rsidR="00D00B4B" w:rsidRDefault="00132B53" w:rsidP="00D00B4B">
      <w:pPr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Note </w:t>
      </w:r>
      <w:r w:rsidR="00CE594E" w:rsidRPr="00132B53">
        <w:rPr>
          <w:rFonts w:cstheme="minorHAnsi"/>
          <w:sz w:val="24"/>
          <w:szCs w:val="24"/>
        </w:rPr>
        <w:t xml:space="preserve">the funding </w:t>
      </w:r>
      <w:r w:rsidR="003E1810" w:rsidRPr="00132B53">
        <w:rPr>
          <w:rFonts w:cstheme="minorHAnsi"/>
          <w:sz w:val="24"/>
          <w:szCs w:val="24"/>
        </w:rPr>
        <w:t>position for the Panel</w:t>
      </w:r>
      <w:r w:rsidR="00CE594E" w:rsidRPr="00132B53">
        <w:rPr>
          <w:rFonts w:cstheme="minorHAnsi"/>
          <w:sz w:val="24"/>
          <w:szCs w:val="24"/>
        </w:rPr>
        <w:t xml:space="preserve"> for 201</w:t>
      </w:r>
      <w:r w:rsidR="0032351F">
        <w:rPr>
          <w:rFonts w:cstheme="minorHAnsi"/>
          <w:sz w:val="24"/>
          <w:szCs w:val="24"/>
        </w:rPr>
        <w:t>3</w:t>
      </w:r>
      <w:r w:rsidR="00CE594E" w:rsidRPr="00132B53">
        <w:rPr>
          <w:rFonts w:cstheme="minorHAnsi"/>
          <w:sz w:val="24"/>
          <w:szCs w:val="24"/>
        </w:rPr>
        <w:t>/1</w:t>
      </w:r>
      <w:r w:rsidR="0032351F">
        <w:rPr>
          <w:rFonts w:cstheme="minorHAnsi"/>
          <w:sz w:val="24"/>
          <w:szCs w:val="24"/>
        </w:rPr>
        <w:t>4</w:t>
      </w:r>
      <w:r w:rsidR="00CE594E" w:rsidRPr="00132B53">
        <w:rPr>
          <w:rFonts w:cstheme="minorHAnsi"/>
          <w:sz w:val="24"/>
          <w:szCs w:val="24"/>
        </w:rPr>
        <w:t xml:space="preserve"> </w:t>
      </w:r>
      <w:r w:rsidR="00DE6CA9">
        <w:rPr>
          <w:rFonts w:cstheme="minorHAnsi"/>
          <w:sz w:val="24"/>
          <w:szCs w:val="24"/>
        </w:rPr>
        <w:t>– Appendix A</w:t>
      </w:r>
    </w:p>
    <w:p w:rsidR="00893C26" w:rsidRPr="00D00B4B" w:rsidRDefault="007C146C" w:rsidP="00D00B4B">
      <w:pPr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132B53" w:rsidRPr="00D00B4B">
        <w:rPr>
          <w:rFonts w:cstheme="minorHAnsi"/>
          <w:sz w:val="24"/>
          <w:szCs w:val="24"/>
        </w:rPr>
        <w:t>gree</w:t>
      </w:r>
      <w:r w:rsidR="00D00B4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</w:t>
      </w:r>
      <w:r w:rsidR="00D00B4B">
        <w:rPr>
          <w:rFonts w:cstheme="minorHAnsi"/>
          <w:sz w:val="24"/>
          <w:szCs w:val="24"/>
        </w:rPr>
        <w:t xml:space="preserve"> draft</w:t>
      </w:r>
      <w:r w:rsidR="00132B53" w:rsidRPr="00D00B4B">
        <w:rPr>
          <w:rFonts w:cstheme="minorHAnsi"/>
          <w:sz w:val="24"/>
          <w:szCs w:val="24"/>
        </w:rPr>
        <w:t xml:space="preserve"> West Yorkshire Police and Crime </w:t>
      </w:r>
      <w:r w:rsidR="003E1810" w:rsidRPr="00D00B4B">
        <w:rPr>
          <w:rFonts w:cstheme="minorHAnsi"/>
          <w:sz w:val="24"/>
          <w:szCs w:val="24"/>
        </w:rPr>
        <w:t>Panel</w:t>
      </w:r>
      <w:r w:rsidR="008453F0" w:rsidRPr="00D00B4B">
        <w:rPr>
          <w:rFonts w:cstheme="minorHAnsi"/>
          <w:sz w:val="24"/>
          <w:szCs w:val="24"/>
        </w:rPr>
        <w:t xml:space="preserve"> budget for 201</w:t>
      </w:r>
      <w:r w:rsidR="0032351F">
        <w:rPr>
          <w:rFonts w:cstheme="minorHAnsi"/>
          <w:sz w:val="24"/>
          <w:szCs w:val="24"/>
        </w:rPr>
        <w:t>4/15 with no local authority contribution for 2014/15.</w:t>
      </w:r>
    </w:p>
    <w:p w:rsidR="00EC2DD5" w:rsidRPr="003E1810" w:rsidRDefault="00EC2DD5" w:rsidP="00F55307">
      <w:pPr>
        <w:ind w:left="1418" w:hanging="709"/>
        <w:rPr>
          <w:rFonts w:cstheme="minorHAnsi"/>
          <w:sz w:val="24"/>
          <w:szCs w:val="24"/>
        </w:rPr>
      </w:pPr>
      <w:r w:rsidRPr="003E1810">
        <w:rPr>
          <w:rFonts w:cstheme="minorHAnsi"/>
          <w:sz w:val="24"/>
          <w:szCs w:val="24"/>
        </w:rPr>
        <w:br w:type="page"/>
      </w:r>
    </w:p>
    <w:p w:rsidR="00F55307" w:rsidRPr="003E1810" w:rsidRDefault="004159F1" w:rsidP="00F55307">
      <w:pPr>
        <w:rPr>
          <w:sz w:val="24"/>
          <w:szCs w:val="24"/>
        </w:rPr>
      </w:pPr>
      <w:r w:rsidRPr="003E1810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BEDD71" wp14:editId="7841FE08">
                <wp:simplePos x="0" y="0"/>
                <wp:positionH relativeFrom="column">
                  <wp:posOffset>4412615</wp:posOffset>
                </wp:positionH>
                <wp:positionV relativeFrom="paragraph">
                  <wp:posOffset>-523875</wp:posOffset>
                </wp:positionV>
                <wp:extent cx="1739265" cy="271780"/>
                <wp:effectExtent l="12065" t="9525" r="10795" b="571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26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2E79" w:rsidRPr="00F55307" w:rsidRDefault="00952E79">
                            <w:pPr>
                              <w:rPr>
                                <w:b/>
                              </w:rPr>
                            </w:pPr>
                            <w:r w:rsidRPr="00F55307">
                              <w:rPr>
                                <w:b/>
                              </w:rPr>
                              <w:t>Appendix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47.45pt;margin-top:-41.25pt;width:136.95pt;height:21.4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">
                <v:textbox style="mso-fit-shape-to-text:t">
                  <w:txbxContent>
                    <w:p w:rsidR="004B6B2F" w:rsidRPr="00F55307" w:rsidRDefault="004B6B2F">
                      <w:pPr>
                        <w:rPr>
                          <w:b/>
                        </w:rPr>
                      </w:pPr>
                      <w:r w:rsidRPr="00F55307">
                        <w:rPr>
                          <w:b/>
                        </w:rPr>
                        <w:t>Appendix A</w:t>
                      </w:r>
                    </w:p>
                  </w:txbxContent>
                </v:textbox>
              </v:shape>
            </w:pict>
          </mc:Fallback>
        </mc:AlternateContent>
      </w:r>
    </w:p>
    <w:p w:rsidR="00465894" w:rsidRPr="00465894" w:rsidRDefault="00465894" w:rsidP="00465894">
      <w:pPr>
        <w:ind w:left="0" w:firstLine="0"/>
        <w:rPr>
          <w:rFonts w:ascii="Arial" w:eastAsia="Calibri" w:hAnsi="Arial" w:cs="Times New Roman"/>
          <w:b/>
          <w:sz w:val="28"/>
          <w:szCs w:val="28"/>
          <w:lang w:val="en-US"/>
        </w:rPr>
      </w:pPr>
      <w:r w:rsidRPr="00465894">
        <w:rPr>
          <w:rFonts w:ascii="Arial" w:eastAsia="Calibri" w:hAnsi="Arial" w:cs="Times New Roman"/>
          <w:b/>
          <w:sz w:val="28"/>
          <w:szCs w:val="28"/>
          <w:lang w:val="en-US"/>
        </w:rPr>
        <w:t>Police &amp; Crime Panel</w:t>
      </w:r>
      <w:r w:rsidR="00952E79">
        <w:rPr>
          <w:rFonts w:ascii="Arial" w:eastAsia="Calibri" w:hAnsi="Arial" w:cs="Times New Roman"/>
          <w:b/>
          <w:sz w:val="28"/>
          <w:szCs w:val="28"/>
          <w:lang w:val="en-US"/>
        </w:rPr>
        <w:t xml:space="preserve"> Budget</w:t>
      </w:r>
    </w:p>
    <w:p w:rsidR="00465894" w:rsidRPr="00465894" w:rsidRDefault="00465894" w:rsidP="00465894">
      <w:pPr>
        <w:ind w:left="0" w:firstLine="0"/>
        <w:rPr>
          <w:rFonts w:ascii="Arial" w:eastAsia="Calibri" w:hAnsi="Arial" w:cs="Times New Roman"/>
          <w:lang w:val="en-US"/>
        </w:rPr>
      </w:pPr>
    </w:p>
    <w:tbl>
      <w:tblPr>
        <w:tblW w:w="10207" w:type="dxa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409"/>
        <w:gridCol w:w="2553"/>
        <w:gridCol w:w="2268"/>
        <w:gridCol w:w="2693"/>
      </w:tblGrid>
      <w:tr w:rsidR="00952E79" w:rsidRPr="00465894" w:rsidTr="00952E79">
        <w:tc>
          <w:tcPr>
            <w:tcW w:w="284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</w:tcPr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962" w:type="dxa"/>
            <w:gridSpan w:val="2"/>
            <w:tcBorders>
              <w:top w:val="single" w:sz="12" w:space="0" w:color="000000"/>
              <w:left w:val="single" w:sz="4" w:space="0" w:color="auto"/>
              <w:bottom w:val="double" w:sz="6" w:space="0" w:color="000000"/>
              <w:right w:val="single" w:sz="12" w:space="0" w:color="000000"/>
            </w:tcBorders>
            <w:hideMark/>
          </w:tcPr>
          <w:p w:rsidR="00952E79" w:rsidRDefault="00952E79" w:rsidP="00465894">
            <w:pPr>
              <w:ind w:left="0" w:firstLine="0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</w:p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465894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 xml:space="preserve">Budget </w:t>
            </w: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 xml:space="preserve">Outcome </w:t>
            </w:r>
            <w:r w:rsidRPr="00465894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for 2013/14</w:t>
            </w:r>
          </w:p>
        </w:tc>
        <w:tc>
          <w:tcPr>
            <w:tcW w:w="4961" w:type="dxa"/>
            <w:gridSpan w:val="2"/>
            <w:tcBorders>
              <w:top w:val="single" w:sz="12" w:space="0" w:color="000000"/>
              <w:left w:val="nil"/>
              <w:bottom w:val="double" w:sz="6" w:space="0" w:color="000000"/>
              <w:right w:val="single" w:sz="4" w:space="0" w:color="auto"/>
            </w:tcBorders>
          </w:tcPr>
          <w:p w:rsidR="00952E79" w:rsidRDefault="00952E79" w:rsidP="00465894">
            <w:pPr>
              <w:ind w:left="0" w:firstLine="0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</w:p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Draft Budget 2014/15</w:t>
            </w:r>
          </w:p>
        </w:tc>
      </w:tr>
      <w:tr w:rsidR="00952E79" w:rsidRPr="00465894" w:rsidTr="00952E79">
        <w:tc>
          <w:tcPr>
            <w:tcW w:w="284" w:type="dxa"/>
            <w:vMerge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952E79" w:rsidRPr="00465894" w:rsidTr="00952E79">
        <w:tc>
          <w:tcPr>
            <w:tcW w:w="284" w:type="dxa"/>
            <w:vMerge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C146C" w:rsidRDefault="00952E79" w:rsidP="00465894">
            <w:pPr>
              <w:ind w:left="0" w:firstLine="0"/>
              <w:rPr>
                <w:rFonts w:ascii="Arial" w:eastAsia="Times New Roman" w:hAnsi="Arial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465894">
              <w:rPr>
                <w:rFonts w:ascii="Arial" w:eastAsia="Times New Roman" w:hAnsi="Arial" w:cs="Times New Roman"/>
                <w:b/>
                <w:bCs/>
                <w:sz w:val="24"/>
                <w:szCs w:val="24"/>
                <w:u w:val="single"/>
                <w:lang w:eastAsia="en-GB"/>
              </w:rPr>
              <w:t>Inco</w:t>
            </w:r>
          </w:p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465894">
              <w:rPr>
                <w:rFonts w:ascii="Arial" w:eastAsia="Times New Roman" w:hAnsi="Arial" w:cs="Times New Roman"/>
                <w:b/>
                <w:bCs/>
                <w:sz w:val="24"/>
                <w:szCs w:val="24"/>
                <w:u w:val="single"/>
                <w:lang w:eastAsia="en-GB"/>
              </w:rPr>
              <w:t>me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  <w:r w:rsidRPr="00465894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  <w:t>Income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952E79" w:rsidRPr="00465894" w:rsidTr="00952E79">
        <w:tc>
          <w:tcPr>
            <w:tcW w:w="284" w:type="dxa"/>
            <w:vMerge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</w:pPr>
            <w:r w:rsidRPr="00465894"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  <w:t>Home Office Grant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52E79" w:rsidRPr="00465894" w:rsidRDefault="00952E79" w:rsidP="00465894">
            <w:pPr>
              <w:ind w:left="0" w:firstLine="0"/>
              <w:jc w:val="right"/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</w:pPr>
            <w:r w:rsidRPr="00465894"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  <w:t xml:space="preserve">  53,300</w:t>
            </w:r>
          </w:p>
          <w:p w:rsidR="00952E79" w:rsidRPr="00465894" w:rsidRDefault="00952E79" w:rsidP="00465894">
            <w:pPr>
              <w:ind w:left="0" w:firstLine="0"/>
              <w:jc w:val="right"/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</w:pPr>
            <w:r w:rsidRPr="00465894"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  <w:t xml:space="preserve">  12,880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</w:pPr>
            <w:r w:rsidRPr="00465894"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  <w:t>Home Office Grant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2E79" w:rsidRPr="00465894" w:rsidRDefault="00952E79" w:rsidP="00465894">
            <w:pPr>
              <w:ind w:left="0" w:firstLine="0"/>
              <w:jc w:val="right"/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</w:pPr>
            <w:r w:rsidRPr="00465894"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  <w:t>53,300</w:t>
            </w:r>
          </w:p>
          <w:p w:rsidR="00952E79" w:rsidRPr="00465894" w:rsidRDefault="00952E79" w:rsidP="00465894">
            <w:pPr>
              <w:ind w:left="0" w:firstLine="0"/>
              <w:jc w:val="right"/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</w:pPr>
            <w:r w:rsidRPr="00465894"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  <w:t>12,880</w:t>
            </w:r>
          </w:p>
        </w:tc>
      </w:tr>
      <w:tr w:rsidR="00952E79" w:rsidRPr="00465894" w:rsidTr="00952E79">
        <w:tc>
          <w:tcPr>
            <w:tcW w:w="284" w:type="dxa"/>
            <w:vMerge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</w:pPr>
            <w:r w:rsidRPr="00465894"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  <w:t>Subscriptions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</w:pPr>
            <w:r w:rsidRPr="00465894"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  <w:t xml:space="preserve">  Nil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E79" w:rsidRPr="004B6B2F" w:rsidRDefault="00952E79" w:rsidP="0072499A">
            <w:pPr>
              <w:ind w:left="0" w:firstLine="0"/>
              <w:rPr>
                <w:rFonts w:ascii="Arial" w:eastAsia="Times New Roman" w:hAnsi="Arial" w:cs="Times New Roman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  <w:t xml:space="preserve">Subscriptions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2E79" w:rsidRPr="00465894" w:rsidRDefault="00952E79" w:rsidP="00465894">
            <w:pPr>
              <w:ind w:left="0" w:firstLine="0"/>
              <w:jc w:val="right"/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  <w:t>Nil</w:t>
            </w:r>
          </w:p>
        </w:tc>
      </w:tr>
      <w:tr w:rsidR="00952E79" w:rsidRPr="00465894" w:rsidTr="00952E79">
        <w:tc>
          <w:tcPr>
            <w:tcW w:w="284" w:type="dxa"/>
            <w:vMerge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</w:pPr>
            <w:r w:rsidRPr="00465894"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  <w:t>Surplus from 12/13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52E79" w:rsidRPr="00465894" w:rsidRDefault="00952E79" w:rsidP="00465894">
            <w:pPr>
              <w:ind w:left="0" w:firstLine="0"/>
              <w:jc w:val="right"/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</w:pPr>
            <w:r w:rsidRPr="00465894"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  <w:t xml:space="preserve">  50,664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</w:pPr>
            <w:r w:rsidRPr="00465894"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  <w:t>Surplus 13/14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2E79" w:rsidRPr="00465894" w:rsidRDefault="00952E79" w:rsidP="0072499A">
            <w:pPr>
              <w:ind w:left="0" w:firstLine="0"/>
              <w:jc w:val="center"/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  <w:tab/>
            </w:r>
            <w:r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  <w:tab/>
              <w:t xml:space="preserve">  46,413</w:t>
            </w:r>
          </w:p>
        </w:tc>
      </w:tr>
      <w:tr w:rsidR="00952E79" w:rsidRPr="00465894" w:rsidTr="00952E79">
        <w:tc>
          <w:tcPr>
            <w:tcW w:w="284" w:type="dxa"/>
            <w:vMerge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52E79" w:rsidRPr="00465894" w:rsidRDefault="00952E79" w:rsidP="00465894">
            <w:pPr>
              <w:ind w:left="0" w:firstLine="0"/>
              <w:jc w:val="right"/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2E79" w:rsidRPr="00465894" w:rsidRDefault="00952E79" w:rsidP="00465894">
            <w:pPr>
              <w:ind w:left="0" w:firstLine="0"/>
              <w:jc w:val="right"/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</w:pPr>
          </w:p>
        </w:tc>
      </w:tr>
      <w:tr w:rsidR="00952E79" w:rsidRPr="00465894" w:rsidTr="00952E79">
        <w:tc>
          <w:tcPr>
            <w:tcW w:w="284" w:type="dxa"/>
            <w:vMerge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52E79" w:rsidRPr="00465894" w:rsidRDefault="00952E79" w:rsidP="00465894">
            <w:pPr>
              <w:ind w:left="0" w:firstLine="0"/>
              <w:jc w:val="right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  <w:r w:rsidRPr="00465894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  <w:t xml:space="preserve">Total 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52E79" w:rsidRPr="00465894" w:rsidRDefault="00952E79" w:rsidP="00465894">
            <w:pPr>
              <w:ind w:left="0" w:firstLine="0"/>
              <w:jc w:val="right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  <w:r w:rsidRPr="00465894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  <w:t>116,844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E79" w:rsidRPr="00465894" w:rsidRDefault="00952E79" w:rsidP="00465894">
            <w:pPr>
              <w:ind w:left="0" w:firstLine="0"/>
              <w:jc w:val="right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2E79" w:rsidRPr="00465894" w:rsidRDefault="00952E79" w:rsidP="00465894">
            <w:pPr>
              <w:ind w:left="0" w:firstLine="0"/>
              <w:jc w:val="right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  <w:t>112,593</w:t>
            </w:r>
          </w:p>
        </w:tc>
      </w:tr>
      <w:tr w:rsidR="00952E79" w:rsidRPr="00465894" w:rsidTr="00952E79">
        <w:tc>
          <w:tcPr>
            <w:tcW w:w="284" w:type="dxa"/>
            <w:vMerge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52E79" w:rsidRPr="00465894" w:rsidRDefault="00952E79" w:rsidP="00465894">
            <w:pPr>
              <w:ind w:left="0" w:firstLine="0"/>
              <w:jc w:val="right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2E79" w:rsidRPr="00465894" w:rsidRDefault="00952E79" w:rsidP="00465894">
            <w:pPr>
              <w:ind w:left="0" w:firstLine="0"/>
              <w:jc w:val="right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952E79" w:rsidRPr="00465894" w:rsidTr="00952E79">
        <w:tc>
          <w:tcPr>
            <w:tcW w:w="284" w:type="dxa"/>
            <w:vMerge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52E79" w:rsidRPr="00465894" w:rsidRDefault="00952E79" w:rsidP="00465894">
            <w:pPr>
              <w:ind w:left="0" w:firstLine="0"/>
              <w:jc w:val="right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2E79" w:rsidRPr="00465894" w:rsidRDefault="00952E79" w:rsidP="00465894">
            <w:pPr>
              <w:ind w:left="0" w:firstLine="0"/>
              <w:jc w:val="right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952E79" w:rsidRPr="00465894" w:rsidTr="00952E79">
        <w:tc>
          <w:tcPr>
            <w:tcW w:w="284" w:type="dxa"/>
            <w:vMerge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465894">
              <w:rPr>
                <w:rFonts w:ascii="Arial" w:eastAsia="Times New Roman" w:hAnsi="Arial" w:cs="Times New Roman"/>
                <w:b/>
                <w:bCs/>
                <w:sz w:val="24"/>
                <w:szCs w:val="24"/>
                <w:u w:val="single"/>
                <w:lang w:eastAsia="en-GB"/>
              </w:rPr>
              <w:t>Expenditure</w:t>
            </w:r>
          </w:p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52E79" w:rsidRPr="00465894" w:rsidRDefault="00952E79" w:rsidP="00465894">
            <w:pPr>
              <w:ind w:left="0" w:firstLine="0"/>
              <w:jc w:val="right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2E79" w:rsidRPr="00465894" w:rsidRDefault="00952E79" w:rsidP="00465894">
            <w:pPr>
              <w:ind w:left="0" w:firstLine="0"/>
              <w:jc w:val="right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952E79" w:rsidRPr="00465894" w:rsidTr="00952E79">
        <w:tc>
          <w:tcPr>
            <w:tcW w:w="284" w:type="dxa"/>
            <w:vMerge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</w:pPr>
            <w:r w:rsidRPr="00465894"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  <w:t>Salaries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52E79" w:rsidRPr="00465894" w:rsidRDefault="00952E79" w:rsidP="00465894">
            <w:pPr>
              <w:ind w:left="0" w:firstLine="0"/>
              <w:jc w:val="right"/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  <w:t>40,917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</w:pPr>
            <w:r w:rsidRPr="00465894"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  <w:t>Salaries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2E79" w:rsidRPr="00465894" w:rsidRDefault="00952E79" w:rsidP="00465894">
            <w:pPr>
              <w:ind w:left="0" w:firstLine="0"/>
              <w:jc w:val="right"/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  <w:t>38,174</w:t>
            </w:r>
          </w:p>
        </w:tc>
      </w:tr>
      <w:tr w:rsidR="00952E79" w:rsidRPr="00465894" w:rsidTr="00952E79">
        <w:tc>
          <w:tcPr>
            <w:tcW w:w="284" w:type="dxa"/>
            <w:vMerge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</w:pPr>
            <w:r w:rsidRPr="00465894"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  <w:t>Indep Allowances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52E79" w:rsidRPr="00465894" w:rsidRDefault="00952E79" w:rsidP="00465894">
            <w:pPr>
              <w:ind w:left="0" w:firstLine="0"/>
              <w:jc w:val="right"/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  <w:t>23,171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</w:pPr>
            <w:r w:rsidRPr="00465894"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  <w:t>Indep Allowances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2E79" w:rsidRPr="00465894" w:rsidRDefault="00952E79" w:rsidP="00465894">
            <w:pPr>
              <w:ind w:left="0" w:firstLine="0"/>
              <w:jc w:val="right"/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  <w:t>23,171</w:t>
            </w:r>
          </w:p>
        </w:tc>
      </w:tr>
      <w:tr w:rsidR="00952E79" w:rsidRPr="00465894" w:rsidTr="00952E79">
        <w:tc>
          <w:tcPr>
            <w:tcW w:w="284" w:type="dxa"/>
            <w:vMerge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</w:pPr>
            <w:r w:rsidRPr="00465894"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  <w:t>Office costs</w:t>
            </w:r>
          </w:p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</w:pPr>
            <w:r w:rsidRPr="00465894"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  <w:t>Meeting Expenses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52E79" w:rsidRPr="00465894" w:rsidRDefault="00952E79" w:rsidP="00465894">
            <w:pPr>
              <w:ind w:left="0" w:firstLine="0"/>
              <w:jc w:val="right"/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  <w:t xml:space="preserve">  2,744</w:t>
            </w:r>
            <w:r w:rsidRPr="00465894"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  <w:t xml:space="preserve">  </w:t>
            </w:r>
          </w:p>
          <w:p w:rsidR="00952E79" w:rsidRPr="00465894" w:rsidRDefault="00952E79" w:rsidP="0072499A">
            <w:pPr>
              <w:ind w:left="0" w:firstLine="0"/>
              <w:jc w:val="right"/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</w:pPr>
            <w:r w:rsidRPr="00465894"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  <w:t xml:space="preserve">  1,</w:t>
            </w:r>
            <w:r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  <w:t>168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</w:pPr>
            <w:r w:rsidRPr="00465894"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  <w:t>Office costs</w:t>
            </w:r>
          </w:p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</w:pPr>
            <w:r w:rsidRPr="00465894"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  <w:t>Meeting Expenses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2E79" w:rsidRPr="00465894" w:rsidRDefault="00952E79" w:rsidP="00465894">
            <w:pPr>
              <w:ind w:left="0" w:firstLine="0"/>
              <w:jc w:val="right"/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</w:pPr>
            <w:r w:rsidRPr="00465894"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  <w:t xml:space="preserve">  3,</w:t>
            </w:r>
            <w:r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  <w:t>0</w:t>
            </w:r>
            <w:r w:rsidRPr="00465894"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  <w:t>00</w:t>
            </w:r>
          </w:p>
          <w:p w:rsidR="00952E79" w:rsidRPr="00465894" w:rsidRDefault="00952E79" w:rsidP="0072499A">
            <w:pPr>
              <w:ind w:left="0" w:firstLine="0"/>
              <w:jc w:val="right"/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</w:pPr>
            <w:r w:rsidRPr="00465894"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  <w:t xml:space="preserve">  1,</w:t>
            </w:r>
            <w:r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  <w:t>5</w:t>
            </w:r>
            <w:r w:rsidRPr="00465894"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  <w:t>00</w:t>
            </w:r>
          </w:p>
        </w:tc>
      </w:tr>
      <w:tr w:rsidR="00952E79" w:rsidRPr="00465894" w:rsidTr="00952E79">
        <w:tc>
          <w:tcPr>
            <w:tcW w:w="284" w:type="dxa"/>
            <w:vMerge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</w:pPr>
            <w:r w:rsidRPr="00465894"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  <w:t>Communications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52E79" w:rsidRPr="00465894" w:rsidRDefault="00952E79" w:rsidP="00465894">
            <w:pPr>
              <w:ind w:left="0" w:firstLine="0"/>
              <w:jc w:val="right"/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  <w:t xml:space="preserve">631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</w:pPr>
            <w:r w:rsidRPr="00465894"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  <w:t>Communications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2E79" w:rsidRPr="00465894" w:rsidRDefault="00952E79" w:rsidP="0072499A">
            <w:pPr>
              <w:ind w:left="0" w:firstLine="0"/>
              <w:jc w:val="right"/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  <w:t xml:space="preserve">  2,00</w:t>
            </w:r>
            <w:r w:rsidRPr="00465894"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  <w:t>0</w:t>
            </w:r>
          </w:p>
        </w:tc>
      </w:tr>
      <w:tr w:rsidR="00952E79" w:rsidRPr="00465894" w:rsidTr="00952E79">
        <w:tc>
          <w:tcPr>
            <w:tcW w:w="284" w:type="dxa"/>
            <w:vMerge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</w:pPr>
            <w:r w:rsidRPr="00465894"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  <w:t>Legal Advice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52E79" w:rsidRPr="00465894" w:rsidRDefault="00952E79" w:rsidP="00465894">
            <w:pPr>
              <w:ind w:left="0" w:firstLine="0"/>
              <w:jc w:val="right"/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  <w:t>1,800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</w:pPr>
            <w:r w:rsidRPr="00465894"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  <w:t>Legal Advice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2E79" w:rsidRPr="00465894" w:rsidRDefault="00952E79" w:rsidP="00465894">
            <w:pPr>
              <w:ind w:left="0" w:firstLine="0"/>
              <w:jc w:val="right"/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  <w:t>10,00</w:t>
            </w:r>
            <w:r w:rsidRPr="00465894"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  <w:t>0</w:t>
            </w:r>
          </w:p>
        </w:tc>
      </w:tr>
      <w:tr w:rsidR="00952E79" w:rsidRPr="00465894" w:rsidTr="00952E79">
        <w:tc>
          <w:tcPr>
            <w:tcW w:w="284" w:type="dxa"/>
            <w:vMerge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52E79" w:rsidRPr="00465894" w:rsidRDefault="00952E79" w:rsidP="00465894">
            <w:pPr>
              <w:ind w:left="0" w:firstLine="0"/>
              <w:jc w:val="right"/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2E79" w:rsidRPr="00465894" w:rsidRDefault="00952E79" w:rsidP="00465894">
            <w:pPr>
              <w:ind w:left="0" w:firstLine="0"/>
              <w:jc w:val="right"/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</w:pPr>
          </w:p>
        </w:tc>
      </w:tr>
      <w:tr w:rsidR="00952E79" w:rsidRPr="00465894" w:rsidTr="00952E79">
        <w:tc>
          <w:tcPr>
            <w:tcW w:w="284" w:type="dxa"/>
            <w:vMerge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2E79" w:rsidRPr="00952E79" w:rsidRDefault="00952E79" w:rsidP="00952E79">
            <w:pPr>
              <w:ind w:left="0" w:firstLine="0"/>
              <w:jc w:val="right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  <w:r w:rsidRPr="00952E79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52E79" w:rsidRPr="00465894" w:rsidRDefault="00952E79" w:rsidP="00465894">
            <w:pPr>
              <w:ind w:left="0" w:firstLine="0"/>
              <w:jc w:val="right"/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  <w:t>70,431</w:t>
            </w:r>
            <w:r w:rsidRPr="00465894">
              <w:rPr>
                <w:rFonts w:ascii="Arial" w:eastAsia="Times New Roman" w:hAnsi="Arial" w:cs="Times New Roman"/>
                <w:bCs/>
                <w:sz w:val="24"/>
                <w:szCs w:val="24"/>
                <w:lang w:eastAsia="en-GB"/>
              </w:rPr>
              <w:t xml:space="preserve">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E79" w:rsidRPr="00952E79" w:rsidRDefault="00952E79" w:rsidP="00952E79">
            <w:pPr>
              <w:ind w:left="0" w:firstLine="0"/>
              <w:jc w:val="right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  <w:r w:rsidRPr="00952E79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2E79" w:rsidRPr="00952E79" w:rsidRDefault="00952E79" w:rsidP="00952E79">
            <w:pPr>
              <w:ind w:left="0" w:firstLine="0"/>
              <w:jc w:val="right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  <w:t>77,845</w:t>
            </w:r>
          </w:p>
        </w:tc>
      </w:tr>
      <w:tr w:rsidR="00952E79" w:rsidRPr="00465894" w:rsidTr="00952E79">
        <w:tc>
          <w:tcPr>
            <w:tcW w:w="284" w:type="dxa"/>
            <w:vMerge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52E79" w:rsidRPr="00465894" w:rsidRDefault="00952E79" w:rsidP="00465894">
            <w:pPr>
              <w:ind w:left="0" w:firstLine="0"/>
              <w:jc w:val="right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52E79" w:rsidRPr="00465894" w:rsidRDefault="00952E79" w:rsidP="00952E79">
            <w:pPr>
              <w:ind w:left="0" w:firstLine="0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  <w:t xml:space="preserve">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E79" w:rsidRPr="00465894" w:rsidRDefault="00952E79" w:rsidP="00465894">
            <w:pPr>
              <w:ind w:left="0" w:firstLine="0"/>
              <w:jc w:val="right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2E79" w:rsidRPr="00952E79" w:rsidRDefault="00952E79" w:rsidP="00952E79">
            <w:pPr>
              <w:ind w:left="0" w:firstLine="0"/>
              <w:jc w:val="right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952E79" w:rsidRPr="00465894" w:rsidTr="00952E79">
        <w:tc>
          <w:tcPr>
            <w:tcW w:w="284" w:type="dxa"/>
            <w:vMerge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52E79" w:rsidRPr="00465894" w:rsidRDefault="00952E79" w:rsidP="00465894">
            <w:pPr>
              <w:ind w:left="0" w:firstLine="0"/>
              <w:jc w:val="right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952E79" w:rsidRPr="00465894" w:rsidTr="00952E79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52E79" w:rsidRPr="00465894" w:rsidRDefault="00952E79" w:rsidP="00465894">
            <w:pPr>
              <w:ind w:left="0" w:firstLine="0"/>
              <w:jc w:val="right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952E79" w:rsidRPr="00465894" w:rsidTr="00952E79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  <w:r w:rsidRPr="00465894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  <w:t>Total Income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12" w:space="0" w:color="000000"/>
            </w:tcBorders>
            <w:hideMark/>
          </w:tcPr>
          <w:p w:rsidR="00952E79" w:rsidRPr="00465894" w:rsidRDefault="00952E79" w:rsidP="00465894">
            <w:pPr>
              <w:ind w:left="0" w:firstLine="0"/>
              <w:jc w:val="right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  <w:r w:rsidRPr="00465894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  <w:t>116,844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  <w:r w:rsidRPr="00465894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  <w:t>Total Income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2E79" w:rsidRPr="00465894" w:rsidRDefault="00952E79" w:rsidP="00952E79">
            <w:pPr>
              <w:ind w:left="0" w:firstLine="0"/>
              <w:jc w:val="right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  <w:r w:rsidRPr="00465894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  <w:t>112,</w:t>
            </w:r>
            <w:r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  <w:t>593</w:t>
            </w:r>
          </w:p>
        </w:tc>
      </w:tr>
      <w:tr w:rsidR="00952E79" w:rsidRPr="00465894" w:rsidTr="00952E79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  <w:r w:rsidRPr="00465894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  <w:t>Total Expenditure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52E79" w:rsidRPr="00465894" w:rsidRDefault="00952E79" w:rsidP="00465894">
            <w:pPr>
              <w:ind w:left="0" w:firstLine="0"/>
              <w:jc w:val="right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  <w:t>70,431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  <w:r w:rsidRPr="00465894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  <w:t>Total Expenditure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2E79" w:rsidRPr="00465894" w:rsidRDefault="00952E79" w:rsidP="00952E79">
            <w:pPr>
              <w:ind w:left="0" w:firstLine="0"/>
              <w:jc w:val="right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  <w:t>77,845</w:t>
            </w:r>
          </w:p>
        </w:tc>
      </w:tr>
      <w:tr w:rsidR="00952E79" w:rsidRPr="00465894" w:rsidTr="00952E79">
        <w:tc>
          <w:tcPr>
            <w:tcW w:w="284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</w:tcPr>
          <w:p w:rsidR="00952E79" w:rsidRPr="00465894" w:rsidRDefault="00952E79" w:rsidP="00465894">
            <w:pPr>
              <w:ind w:left="0" w:firstLine="0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hideMark/>
          </w:tcPr>
          <w:p w:rsidR="00952E79" w:rsidRPr="00465894" w:rsidRDefault="00952E79" w:rsidP="00952E79">
            <w:pPr>
              <w:ind w:left="0" w:firstLine="0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  <w:r w:rsidRPr="00465894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  <w:t>Balance for 1</w:t>
            </w:r>
            <w:r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  <w:t>4</w:t>
            </w:r>
            <w:r w:rsidRPr="00465894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  <w:t>/1</w:t>
            </w:r>
            <w:r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952E79" w:rsidRPr="00465894" w:rsidRDefault="00952E79" w:rsidP="00465894">
            <w:pPr>
              <w:ind w:left="0" w:firstLine="0"/>
              <w:jc w:val="right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  <w:t xml:space="preserve">46,413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52E79" w:rsidRPr="00465894" w:rsidRDefault="00952E79" w:rsidP="00952E79">
            <w:pPr>
              <w:ind w:left="0" w:firstLine="0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  <w:r w:rsidRPr="00465894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  <w:t>Balance for 1</w:t>
            </w:r>
            <w:r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  <w:t>5</w:t>
            </w:r>
            <w:r w:rsidRPr="00465894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  <w:t>/1</w:t>
            </w:r>
            <w:r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2E79" w:rsidRPr="00465894" w:rsidRDefault="00952E79" w:rsidP="00465894">
            <w:pPr>
              <w:ind w:left="0" w:firstLine="0"/>
              <w:jc w:val="right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en-GB"/>
              </w:rPr>
              <w:t>34,748</w:t>
            </w:r>
          </w:p>
        </w:tc>
      </w:tr>
    </w:tbl>
    <w:p w:rsidR="003D68A8" w:rsidRPr="003E1810" w:rsidRDefault="003D68A8" w:rsidP="00A0612C">
      <w:pPr>
        <w:rPr>
          <w:rFonts w:cstheme="minorHAnsi"/>
          <w:sz w:val="24"/>
          <w:szCs w:val="24"/>
        </w:rPr>
      </w:pPr>
    </w:p>
    <w:sectPr w:rsidR="003D68A8" w:rsidRPr="003E1810" w:rsidSect="007F63E9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E79" w:rsidRDefault="00952E79" w:rsidP="00B01615">
      <w:r>
        <w:separator/>
      </w:r>
    </w:p>
  </w:endnote>
  <w:endnote w:type="continuationSeparator" w:id="0">
    <w:p w:rsidR="00952E79" w:rsidRDefault="00952E79" w:rsidP="00B0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43770"/>
      <w:docPartObj>
        <w:docPartGallery w:val="Page Numbers (Bottom of Page)"/>
        <w:docPartUnique/>
      </w:docPartObj>
    </w:sdtPr>
    <w:sdtEndPr/>
    <w:sdtContent>
      <w:p w:rsidR="00952E79" w:rsidRDefault="00952E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04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2E79" w:rsidRDefault="00952E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E79" w:rsidRDefault="00952E79" w:rsidP="00B01615">
      <w:r>
        <w:separator/>
      </w:r>
    </w:p>
  </w:footnote>
  <w:footnote w:type="continuationSeparator" w:id="0">
    <w:p w:rsidR="00952E79" w:rsidRDefault="00952E79" w:rsidP="00B01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E3009"/>
    <w:multiLevelType w:val="hybridMultilevel"/>
    <w:tmpl w:val="15D280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1509BF"/>
    <w:multiLevelType w:val="hybridMultilevel"/>
    <w:tmpl w:val="DE448E2A"/>
    <w:lvl w:ilvl="0" w:tplc="182823E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A1776B"/>
    <w:multiLevelType w:val="multilevel"/>
    <w:tmpl w:val="4CD84E8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393862D0"/>
    <w:multiLevelType w:val="hybridMultilevel"/>
    <w:tmpl w:val="3752D6CC"/>
    <w:lvl w:ilvl="0" w:tplc="A512358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16F79AF"/>
    <w:multiLevelType w:val="multilevel"/>
    <w:tmpl w:val="B5923F6E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4E"/>
    <w:rsid w:val="000749E2"/>
    <w:rsid w:val="00075BFD"/>
    <w:rsid w:val="0009268D"/>
    <w:rsid w:val="001324EC"/>
    <w:rsid w:val="00132B53"/>
    <w:rsid w:val="00151F4C"/>
    <w:rsid w:val="00167CCB"/>
    <w:rsid w:val="001C12B6"/>
    <w:rsid w:val="001C41D2"/>
    <w:rsid w:val="0024501F"/>
    <w:rsid w:val="0024590F"/>
    <w:rsid w:val="0027387B"/>
    <w:rsid w:val="00280D7C"/>
    <w:rsid w:val="002F161C"/>
    <w:rsid w:val="002F1EF0"/>
    <w:rsid w:val="0032351F"/>
    <w:rsid w:val="0032390D"/>
    <w:rsid w:val="00355294"/>
    <w:rsid w:val="00370E8C"/>
    <w:rsid w:val="00392293"/>
    <w:rsid w:val="003D68A8"/>
    <w:rsid w:val="003E1810"/>
    <w:rsid w:val="004159F1"/>
    <w:rsid w:val="00465894"/>
    <w:rsid w:val="004B6B2F"/>
    <w:rsid w:val="004D7244"/>
    <w:rsid w:val="00513742"/>
    <w:rsid w:val="005A0497"/>
    <w:rsid w:val="005B3338"/>
    <w:rsid w:val="00607689"/>
    <w:rsid w:val="00610875"/>
    <w:rsid w:val="0061561C"/>
    <w:rsid w:val="006B20BE"/>
    <w:rsid w:val="0072499A"/>
    <w:rsid w:val="00741DFD"/>
    <w:rsid w:val="007C146C"/>
    <w:rsid w:val="007F63E9"/>
    <w:rsid w:val="00820E4C"/>
    <w:rsid w:val="008453F0"/>
    <w:rsid w:val="00853F82"/>
    <w:rsid w:val="00870D2C"/>
    <w:rsid w:val="00893C26"/>
    <w:rsid w:val="00952E79"/>
    <w:rsid w:val="00957C5D"/>
    <w:rsid w:val="009A55A3"/>
    <w:rsid w:val="009F4B56"/>
    <w:rsid w:val="00A0612C"/>
    <w:rsid w:val="00A237EC"/>
    <w:rsid w:val="00A70B60"/>
    <w:rsid w:val="00AA29BE"/>
    <w:rsid w:val="00AA47BC"/>
    <w:rsid w:val="00B01615"/>
    <w:rsid w:val="00B64E03"/>
    <w:rsid w:val="00BD421A"/>
    <w:rsid w:val="00C1311E"/>
    <w:rsid w:val="00C47C6A"/>
    <w:rsid w:val="00C7042D"/>
    <w:rsid w:val="00C77B7B"/>
    <w:rsid w:val="00CA3146"/>
    <w:rsid w:val="00CE594E"/>
    <w:rsid w:val="00D00B4B"/>
    <w:rsid w:val="00D46590"/>
    <w:rsid w:val="00D61271"/>
    <w:rsid w:val="00D65D62"/>
    <w:rsid w:val="00D7660C"/>
    <w:rsid w:val="00DE6CA9"/>
    <w:rsid w:val="00E14AA2"/>
    <w:rsid w:val="00E27651"/>
    <w:rsid w:val="00E36A9B"/>
    <w:rsid w:val="00E5293B"/>
    <w:rsid w:val="00E61819"/>
    <w:rsid w:val="00EB0155"/>
    <w:rsid w:val="00EC2DD5"/>
    <w:rsid w:val="00EE1854"/>
    <w:rsid w:val="00F13A3B"/>
    <w:rsid w:val="00F2080C"/>
    <w:rsid w:val="00F54ADA"/>
    <w:rsid w:val="00F55307"/>
    <w:rsid w:val="00F70CAB"/>
    <w:rsid w:val="00F71D36"/>
    <w:rsid w:val="00F9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144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94E"/>
    <w:pPr>
      <w:ind w:left="720"/>
      <w:contextualSpacing/>
    </w:pPr>
  </w:style>
  <w:style w:type="paragraph" w:customStyle="1" w:styleId="Default">
    <w:name w:val="Default"/>
    <w:rsid w:val="006B20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93C26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B016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1615"/>
  </w:style>
  <w:style w:type="paragraph" w:styleId="Footer">
    <w:name w:val="footer"/>
    <w:basedOn w:val="Normal"/>
    <w:link w:val="FooterChar"/>
    <w:uiPriority w:val="99"/>
    <w:unhideWhenUsed/>
    <w:rsid w:val="00B016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615"/>
  </w:style>
  <w:style w:type="paragraph" w:styleId="BalloonText">
    <w:name w:val="Balloon Text"/>
    <w:basedOn w:val="Normal"/>
    <w:link w:val="BalloonTextChar"/>
    <w:uiPriority w:val="99"/>
    <w:semiHidden/>
    <w:unhideWhenUsed/>
    <w:rsid w:val="00A061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12C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32B5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32B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144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94E"/>
    <w:pPr>
      <w:ind w:left="720"/>
      <w:contextualSpacing/>
    </w:pPr>
  </w:style>
  <w:style w:type="paragraph" w:customStyle="1" w:styleId="Default">
    <w:name w:val="Default"/>
    <w:rsid w:val="006B20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93C26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B016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1615"/>
  </w:style>
  <w:style w:type="paragraph" w:styleId="Footer">
    <w:name w:val="footer"/>
    <w:basedOn w:val="Normal"/>
    <w:link w:val="FooterChar"/>
    <w:uiPriority w:val="99"/>
    <w:unhideWhenUsed/>
    <w:rsid w:val="00B016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615"/>
  </w:style>
  <w:style w:type="paragraph" w:styleId="BalloonText">
    <w:name w:val="Balloon Text"/>
    <w:basedOn w:val="Normal"/>
    <w:link w:val="BalloonTextChar"/>
    <w:uiPriority w:val="99"/>
    <w:semiHidden/>
    <w:unhideWhenUsed/>
    <w:rsid w:val="00A061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12C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32B5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32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7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7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316FCF5F64740A5B591D01EEC9D07" ma:contentTypeVersion="1" ma:contentTypeDescription="Create a new document." ma:contentTypeScope="" ma:versionID="a08b3e75a23c1d31ae00e5530fcf90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E1BE8DF-B1A0-4654-8F4F-636EFFC041B4}"/>
</file>

<file path=customXml/itemProps2.xml><?xml version="1.0" encoding="utf-8"?>
<ds:datastoreItem xmlns:ds="http://schemas.openxmlformats.org/officeDocument/2006/customXml" ds:itemID="{BB169F02-F363-4A3E-AC4A-5ABB709E964B}"/>
</file>

<file path=customXml/itemProps3.xml><?xml version="1.0" encoding="utf-8"?>
<ds:datastoreItem xmlns:ds="http://schemas.openxmlformats.org/officeDocument/2006/customXml" ds:itemID="{585C4007-41F0-47A7-A219-B9981FD2A10F}"/>
</file>

<file path=customXml/itemProps4.xml><?xml version="1.0" encoding="utf-8"?>
<ds:datastoreItem xmlns:ds="http://schemas.openxmlformats.org/officeDocument/2006/customXml" ds:itemID="{843BFD15-8D55-4261-8358-7FCDD4080A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Wilkinson, Samantha</dc:creator>
  <cp:lastModifiedBy>Wilkinson, Samantha</cp:lastModifiedBy>
  <cp:revision>4</cp:revision>
  <cp:lastPrinted>2014-06-13T08:57:00Z</cp:lastPrinted>
  <dcterms:created xsi:type="dcterms:W3CDTF">2014-06-13T08:11:00Z</dcterms:created>
  <dcterms:modified xsi:type="dcterms:W3CDTF">2014-06-13T09:48:00Z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0x0101002E9316FCF5F64740A5B591D01EEC9D07</vt:lpwstr>
  </property>
</Properties>
</file>