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D0" w:rsidRDefault="00A8548A" w:rsidP="004B13D0">
      <w:pPr>
        <w:rPr>
          <w:b/>
          <w:sz w:val="28"/>
          <w:szCs w:val="28"/>
        </w:rPr>
      </w:pPr>
      <w:r>
        <w:rPr>
          <w:noProof/>
          <w:lang w:eastAsia="en-GB"/>
        </w:rPr>
        <mc:AlternateContent>
          <mc:Choice Requires="wps">
            <w:drawing>
              <wp:anchor distT="0" distB="0" distL="114300" distR="114300" simplePos="0" relativeHeight="251661312" behindDoc="0" locked="0" layoutInCell="1" allowOverlap="1" wp14:anchorId="638CCF65" wp14:editId="2BFD3441">
                <wp:simplePos x="0" y="0"/>
                <wp:positionH relativeFrom="column">
                  <wp:posOffset>6915150</wp:posOffset>
                </wp:positionH>
                <wp:positionV relativeFrom="paragraph">
                  <wp:posOffset>-17145</wp:posOffset>
                </wp:positionV>
                <wp:extent cx="1431925" cy="419100"/>
                <wp:effectExtent l="0" t="0" r="158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19100"/>
                        </a:xfrm>
                        <a:prstGeom prst="rect">
                          <a:avLst/>
                        </a:prstGeom>
                        <a:solidFill>
                          <a:srgbClr val="FFFFFF"/>
                        </a:solidFill>
                        <a:ln w="9525">
                          <a:solidFill>
                            <a:srgbClr val="000000"/>
                          </a:solidFill>
                          <a:miter lim="800000"/>
                          <a:headEnd/>
                          <a:tailEnd/>
                        </a:ln>
                      </wps:spPr>
                      <wps:txbx>
                        <w:txbxContent>
                          <w:p w:rsidR="00A8548A" w:rsidRDefault="00A8548A" w:rsidP="00A8548A">
                            <w:pPr>
                              <w:jc w:val="center"/>
                              <w:rPr>
                                <w:b/>
                                <w:sz w:val="28"/>
                                <w:szCs w:val="28"/>
                              </w:rPr>
                            </w:pPr>
                            <w:r>
                              <w:rPr>
                                <w:b/>
                                <w:sz w:val="28"/>
                                <w:szCs w:val="28"/>
                              </w:rPr>
                              <w:t>Item 1</w:t>
                            </w:r>
                            <w:r w:rsidR="00EC57A5">
                              <w:rPr>
                                <w:b/>
                                <w:sz w:val="28"/>
                                <w:szCs w:val="28"/>
                              </w:rPr>
                              <w:t>1</w:t>
                            </w:r>
                          </w:p>
                          <w:p w:rsidR="00A8548A" w:rsidRDefault="00A8548A" w:rsidP="00A8548A">
                            <w:pPr>
                              <w:rPr>
                                <w:b/>
                                <w:sz w:val="28"/>
                                <w:szCs w:val="28"/>
                              </w:rPr>
                            </w:pPr>
                          </w:p>
                          <w:p w:rsidR="00A8548A" w:rsidRDefault="00A8548A" w:rsidP="00A85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544.5pt;margin-top:-1.35pt;width:112.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">
                <v:textbox>
                  <w:txbxContent>
                    <w:p w:rsidR="00A8548A" w:rsidRDefault="00A8548A" w:rsidP="00A8548A">
                      <w:pPr>
                        <w:jc w:val="center"/>
                        <w:rPr>
                          <w:b/>
                          <w:sz w:val="28"/>
                          <w:szCs w:val="28"/>
                        </w:rPr>
                      </w:pPr>
                      <w:r>
                        <w:rPr>
                          <w:b/>
                          <w:sz w:val="28"/>
                          <w:szCs w:val="28"/>
                        </w:rPr>
                        <w:t>Item 1</w:t>
                      </w:r>
                      <w:r w:rsidR="00EC57A5">
                        <w:rPr>
                          <w:b/>
                          <w:sz w:val="28"/>
                          <w:szCs w:val="28"/>
                        </w:rPr>
                        <w:t>1</w:t>
                      </w:r>
                    </w:p>
                    <w:p w:rsidR="00A8548A" w:rsidRDefault="00A8548A" w:rsidP="00A8548A">
                      <w:pPr>
                        <w:rPr>
                          <w:b/>
                          <w:sz w:val="28"/>
                          <w:szCs w:val="28"/>
                        </w:rPr>
                      </w:pPr>
                    </w:p>
                    <w:p w:rsidR="00A8548A" w:rsidRDefault="00A8548A" w:rsidP="00A8548A"/>
                  </w:txbxContent>
                </v:textbox>
              </v:shape>
            </w:pict>
          </mc:Fallback>
        </mc:AlternateContent>
      </w:r>
      <w:r w:rsidR="004B13D0">
        <w:rPr>
          <w:noProof/>
          <w:lang w:eastAsia="en-GB"/>
        </w:rPr>
        <w:drawing>
          <wp:anchor distT="0" distB="0" distL="114300" distR="114300" simplePos="0" relativeHeight="251659264" behindDoc="0" locked="0" layoutInCell="1" allowOverlap="1" wp14:anchorId="42B2838C" wp14:editId="556D7776">
            <wp:simplePos x="0" y="0"/>
            <wp:positionH relativeFrom="page">
              <wp:posOffset>770890</wp:posOffset>
            </wp:positionH>
            <wp:positionV relativeFrom="page">
              <wp:posOffset>333375</wp:posOffset>
            </wp:positionV>
            <wp:extent cx="1143000" cy="1485900"/>
            <wp:effectExtent l="0" t="0" r="0" b="0"/>
            <wp:wrapTight wrapText="bothSides">
              <wp:wrapPolygon edited="0">
                <wp:start x="0" y="0"/>
                <wp:lineTo x="0" y="21323"/>
                <wp:lineTo x="21240" y="21323"/>
                <wp:lineTo x="21240" y="0"/>
                <wp:lineTo x="0" y="0"/>
              </wp:wrapPolygon>
            </wp:wrapTight>
            <wp:docPr id="1" name="Picture 1"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3D0">
        <w:rPr>
          <w:b/>
          <w:sz w:val="28"/>
          <w:szCs w:val="28"/>
        </w:rPr>
        <w:tab/>
        <w:t>West Yorkshire Police and Crime Panel</w:t>
      </w:r>
      <w:bookmarkStart w:id="0" w:name="_GoBack"/>
      <w:bookmarkEnd w:id="0"/>
    </w:p>
    <w:p w:rsidR="004B13D0" w:rsidRPr="007426BA" w:rsidRDefault="004B13D0" w:rsidP="004B13D0">
      <w:pPr>
        <w:rPr>
          <w:b/>
          <w:sz w:val="18"/>
          <w:szCs w:val="28"/>
        </w:rPr>
      </w:pPr>
    </w:p>
    <w:p w:rsidR="004B13D0" w:rsidRDefault="004B13D0" w:rsidP="004B13D0">
      <w:pPr>
        <w:rPr>
          <w:b/>
          <w:sz w:val="28"/>
          <w:szCs w:val="28"/>
        </w:rPr>
      </w:pPr>
      <w:r>
        <w:rPr>
          <w:b/>
          <w:sz w:val="28"/>
          <w:szCs w:val="28"/>
        </w:rPr>
        <w:tab/>
        <w:t>Agreed Actions</w:t>
      </w:r>
      <w:r w:rsidR="00636A30">
        <w:rPr>
          <w:b/>
          <w:sz w:val="28"/>
          <w:szCs w:val="28"/>
        </w:rPr>
        <w:t xml:space="preserve"> </w:t>
      </w:r>
      <w:r w:rsidR="00F768D2">
        <w:rPr>
          <w:b/>
          <w:sz w:val="28"/>
          <w:szCs w:val="28"/>
        </w:rPr>
        <w:t>Log</w:t>
      </w:r>
    </w:p>
    <w:p w:rsidR="004B13D0" w:rsidRDefault="004B13D0" w:rsidP="004B13D0">
      <w:pPr>
        <w:rPr>
          <w:b/>
          <w:sz w:val="28"/>
          <w:szCs w:val="28"/>
        </w:rPr>
      </w:pPr>
      <w:r>
        <w:rPr>
          <w:b/>
          <w:sz w:val="28"/>
          <w:szCs w:val="28"/>
        </w:rPr>
        <w:t xml:space="preserve"> </w:t>
      </w:r>
      <w:r>
        <w:rPr>
          <w:b/>
          <w:sz w:val="28"/>
          <w:szCs w:val="28"/>
        </w:rPr>
        <w:tab/>
      </w:r>
      <w:r w:rsidR="00DA0083">
        <w:rPr>
          <w:b/>
          <w:sz w:val="28"/>
          <w:szCs w:val="28"/>
        </w:rPr>
        <w:t>___________________________________________________________________</w:t>
      </w:r>
    </w:p>
    <w:p w:rsidR="00DA0083" w:rsidRDefault="00DA0083" w:rsidP="004B13D0">
      <w:pPr>
        <w:rPr>
          <w:b/>
          <w:sz w:val="28"/>
          <w:szCs w:val="28"/>
        </w:rPr>
      </w:pPr>
    </w:p>
    <w:p w:rsidR="004B13D0" w:rsidRDefault="004B13D0"/>
    <w:p w:rsidR="004B13D0" w:rsidRDefault="004B13D0"/>
    <w:tbl>
      <w:tblPr>
        <w:tblStyle w:val="TableGrid"/>
        <w:tblW w:w="14743" w:type="dxa"/>
        <w:tblInd w:w="-176" w:type="dxa"/>
        <w:tblLayout w:type="fixed"/>
        <w:tblLook w:val="04A0" w:firstRow="1" w:lastRow="0" w:firstColumn="1" w:lastColumn="0" w:noHBand="0" w:noVBand="1"/>
      </w:tblPr>
      <w:tblGrid>
        <w:gridCol w:w="1135"/>
        <w:gridCol w:w="992"/>
        <w:gridCol w:w="4820"/>
        <w:gridCol w:w="1275"/>
        <w:gridCol w:w="1276"/>
        <w:gridCol w:w="5245"/>
      </w:tblGrid>
      <w:tr w:rsidR="0020179E" w:rsidTr="00B50CCC">
        <w:tc>
          <w:tcPr>
            <w:tcW w:w="1135" w:type="dxa"/>
            <w:shd w:val="clear" w:color="auto" w:fill="auto"/>
          </w:tcPr>
          <w:p w:rsidR="0020179E" w:rsidRPr="004B13D0" w:rsidRDefault="0020179E">
            <w:pPr>
              <w:rPr>
                <w:b/>
              </w:rPr>
            </w:pPr>
            <w:r>
              <w:rPr>
                <w:b/>
              </w:rPr>
              <w:t>Date</w:t>
            </w:r>
          </w:p>
        </w:tc>
        <w:tc>
          <w:tcPr>
            <w:tcW w:w="992" w:type="dxa"/>
            <w:shd w:val="clear" w:color="auto" w:fill="auto"/>
          </w:tcPr>
          <w:p w:rsidR="0020179E" w:rsidRDefault="0020179E">
            <w:pPr>
              <w:rPr>
                <w:b/>
              </w:rPr>
            </w:pPr>
            <w:r w:rsidRPr="004B13D0">
              <w:rPr>
                <w:b/>
              </w:rPr>
              <w:t>Item</w:t>
            </w:r>
          </w:p>
          <w:p w:rsidR="0020179E" w:rsidRPr="00811001" w:rsidRDefault="0020179E">
            <w:pPr>
              <w:rPr>
                <w:b/>
                <w:sz w:val="12"/>
              </w:rPr>
            </w:pPr>
          </w:p>
        </w:tc>
        <w:tc>
          <w:tcPr>
            <w:tcW w:w="4820" w:type="dxa"/>
            <w:shd w:val="clear" w:color="auto" w:fill="auto"/>
          </w:tcPr>
          <w:p w:rsidR="0020179E" w:rsidRPr="004B13D0" w:rsidRDefault="0020179E">
            <w:pPr>
              <w:rPr>
                <w:b/>
              </w:rPr>
            </w:pPr>
            <w:r w:rsidRPr="004B13D0">
              <w:rPr>
                <w:b/>
              </w:rPr>
              <w:t>Agreed Action</w:t>
            </w:r>
          </w:p>
        </w:tc>
        <w:tc>
          <w:tcPr>
            <w:tcW w:w="1275" w:type="dxa"/>
            <w:shd w:val="clear" w:color="auto" w:fill="auto"/>
          </w:tcPr>
          <w:p w:rsidR="0020179E" w:rsidRPr="004B13D0" w:rsidRDefault="0020179E" w:rsidP="004B13D0">
            <w:pPr>
              <w:rPr>
                <w:b/>
              </w:rPr>
            </w:pPr>
            <w:r w:rsidRPr="004B13D0">
              <w:rPr>
                <w:b/>
              </w:rPr>
              <w:t>Attributed to</w:t>
            </w:r>
          </w:p>
        </w:tc>
        <w:tc>
          <w:tcPr>
            <w:tcW w:w="1276" w:type="dxa"/>
            <w:shd w:val="clear" w:color="auto" w:fill="auto"/>
          </w:tcPr>
          <w:p w:rsidR="0020179E" w:rsidRDefault="0020179E" w:rsidP="00636A30">
            <w:pPr>
              <w:rPr>
                <w:b/>
              </w:rPr>
            </w:pPr>
            <w:r>
              <w:rPr>
                <w:b/>
              </w:rPr>
              <w:t>Date for completion</w:t>
            </w:r>
          </w:p>
        </w:tc>
        <w:tc>
          <w:tcPr>
            <w:tcW w:w="5245" w:type="dxa"/>
            <w:shd w:val="clear" w:color="auto" w:fill="auto"/>
          </w:tcPr>
          <w:p w:rsidR="0020179E" w:rsidRPr="004B13D0" w:rsidRDefault="0020179E" w:rsidP="00636A30">
            <w:pPr>
              <w:rPr>
                <w:b/>
              </w:rPr>
            </w:pPr>
            <w:r>
              <w:rPr>
                <w:b/>
              </w:rPr>
              <w:t>Action undertaken</w:t>
            </w:r>
          </w:p>
        </w:tc>
      </w:tr>
      <w:tr w:rsidR="0020179E" w:rsidRPr="00EC03D6" w:rsidTr="00B50CCC">
        <w:tc>
          <w:tcPr>
            <w:tcW w:w="1135" w:type="dxa"/>
            <w:shd w:val="clear" w:color="auto" w:fill="auto"/>
          </w:tcPr>
          <w:p w:rsidR="0020179E" w:rsidRPr="00A6172E" w:rsidRDefault="0020179E">
            <w:r w:rsidRPr="00A6172E">
              <w:t>11/4/14</w:t>
            </w:r>
          </w:p>
        </w:tc>
        <w:tc>
          <w:tcPr>
            <w:tcW w:w="992" w:type="dxa"/>
            <w:shd w:val="clear" w:color="auto" w:fill="auto"/>
          </w:tcPr>
          <w:p w:rsidR="0020179E" w:rsidRPr="00A6172E" w:rsidRDefault="0020179E">
            <w:r w:rsidRPr="00A6172E">
              <w:t>7.4.1</w:t>
            </w:r>
            <w:r w:rsidRPr="00A6172E">
              <w:tab/>
            </w:r>
          </w:p>
        </w:tc>
        <w:tc>
          <w:tcPr>
            <w:tcW w:w="4820" w:type="dxa"/>
            <w:shd w:val="clear" w:color="auto" w:fill="auto"/>
          </w:tcPr>
          <w:p w:rsidR="0020179E" w:rsidRPr="00A6172E" w:rsidRDefault="0020179E">
            <w:r w:rsidRPr="00A6172E">
              <w:t>That the Commissioner look further into this issue (use of police bail) and come back to the Panel within the next six months with an action plan addressing any necessary improvements.</w:t>
            </w:r>
          </w:p>
        </w:tc>
        <w:tc>
          <w:tcPr>
            <w:tcW w:w="1275" w:type="dxa"/>
            <w:shd w:val="clear" w:color="auto" w:fill="auto"/>
          </w:tcPr>
          <w:p w:rsidR="0020179E" w:rsidRPr="00A6172E" w:rsidRDefault="0020179E">
            <w:r w:rsidRPr="00A6172E">
              <w:t>PCC</w:t>
            </w:r>
          </w:p>
        </w:tc>
        <w:tc>
          <w:tcPr>
            <w:tcW w:w="1276" w:type="dxa"/>
            <w:shd w:val="clear" w:color="auto" w:fill="auto"/>
          </w:tcPr>
          <w:p w:rsidR="0020179E" w:rsidRPr="00A6172E" w:rsidRDefault="00165177">
            <w:r w:rsidRPr="00A6172E">
              <w:t>24</w:t>
            </w:r>
            <w:r w:rsidR="00C339AF" w:rsidRPr="00A6172E">
              <w:t xml:space="preserve"> April 15</w:t>
            </w:r>
          </w:p>
        </w:tc>
        <w:tc>
          <w:tcPr>
            <w:tcW w:w="5245" w:type="dxa"/>
            <w:shd w:val="clear" w:color="auto" w:fill="auto"/>
          </w:tcPr>
          <w:p w:rsidR="0020179E" w:rsidRPr="00A6172E" w:rsidRDefault="004D7992">
            <w:r w:rsidRPr="00A6172E">
              <w:t>Report back to go to Panel meeting along with Acting Chief Constable in October.</w:t>
            </w:r>
          </w:p>
          <w:p w:rsidR="00050DD7" w:rsidRPr="00A6172E" w:rsidRDefault="0018309C">
            <w:r w:rsidRPr="00A6172E">
              <w:t xml:space="preserve">Report to the October meeting </w:t>
            </w:r>
            <w:r w:rsidR="00C339AF" w:rsidRPr="00A6172E">
              <w:t>–</w:t>
            </w:r>
            <w:r w:rsidRPr="00A6172E">
              <w:t xml:space="preserve"> </w:t>
            </w:r>
            <w:r w:rsidR="00050DD7" w:rsidRPr="00A6172E">
              <w:t>Completed</w:t>
            </w:r>
            <w:r w:rsidR="00C339AF" w:rsidRPr="00A6172E">
              <w:t xml:space="preserve">.  Requested update in 6 months </w:t>
            </w:r>
          </w:p>
        </w:tc>
      </w:tr>
      <w:tr w:rsidR="0020179E" w:rsidRPr="00EC03D6" w:rsidTr="00B50CCC">
        <w:tc>
          <w:tcPr>
            <w:tcW w:w="1135" w:type="dxa"/>
            <w:shd w:val="clear" w:color="auto" w:fill="auto"/>
          </w:tcPr>
          <w:p w:rsidR="0020179E" w:rsidRPr="00A6172E" w:rsidRDefault="0020179E"/>
        </w:tc>
        <w:tc>
          <w:tcPr>
            <w:tcW w:w="992" w:type="dxa"/>
            <w:shd w:val="clear" w:color="auto" w:fill="auto"/>
          </w:tcPr>
          <w:p w:rsidR="0020179E" w:rsidRPr="00A6172E" w:rsidRDefault="0020179E"/>
        </w:tc>
        <w:tc>
          <w:tcPr>
            <w:tcW w:w="4820" w:type="dxa"/>
            <w:shd w:val="clear" w:color="auto" w:fill="auto"/>
          </w:tcPr>
          <w:p w:rsidR="0020179E" w:rsidRPr="00A6172E" w:rsidRDefault="0020179E"/>
        </w:tc>
        <w:tc>
          <w:tcPr>
            <w:tcW w:w="1275" w:type="dxa"/>
            <w:shd w:val="clear" w:color="auto" w:fill="auto"/>
          </w:tcPr>
          <w:p w:rsidR="0020179E" w:rsidRPr="00A6172E" w:rsidRDefault="0020179E"/>
        </w:tc>
        <w:tc>
          <w:tcPr>
            <w:tcW w:w="1276" w:type="dxa"/>
            <w:shd w:val="clear" w:color="auto" w:fill="auto"/>
          </w:tcPr>
          <w:p w:rsidR="0020179E" w:rsidRPr="00A6172E" w:rsidRDefault="0020179E"/>
        </w:tc>
        <w:tc>
          <w:tcPr>
            <w:tcW w:w="5245" w:type="dxa"/>
            <w:shd w:val="clear" w:color="auto" w:fill="auto"/>
          </w:tcPr>
          <w:p w:rsidR="0020179E" w:rsidRPr="00A6172E" w:rsidRDefault="0020179E"/>
        </w:tc>
      </w:tr>
      <w:tr w:rsidR="0020179E" w:rsidRPr="00EC03D6" w:rsidTr="00B50CCC">
        <w:tc>
          <w:tcPr>
            <w:tcW w:w="1135" w:type="dxa"/>
            <w:shd w:val="clear" w:color="auto" w:fill="auto"/>
          </w:tcPr>
          <w:p w:rsidR="0020179E" w:rsidRPr="00A6172E" w:rsidRDefault="0020179E">
            <w:r w:rsidRPr="00A6172E">
              <w:t>11/4/14</w:t>
            </w:r>
          </w:p>
          <w:p w:rsidR="005C69BE" w:rsidRPr="00A6172E" w:rsidRDefault="005C69BE"/>
          <w:p w:rsidR="005C69BE" w:rsidRPr="00A6172E" w:rsidRDefault="005C69BE"/>
          <w:p w:rsidR="005C69BE" w:rsidRPr="00A6172E" w:rsidRDefault="005C69BE"/>
          <w:p w:rsidR="005C69BE" w:rsidRPr="00A6172E" w:rsidRDefault="005C69BE"/>
        </w:tc>
        <w:tc>
          <w:tcPr>
            <w:tcW w:w="992" w:type="dxa"/>
            <w:shd w:val="clear" w:color="auto" w:fill="auto"/>
          </w:tcPr>
          <w:p w:rsidR="0020179E" w:rsidRPr="00A6172E" w:rsidRDefault="0020179E">
            <w:r w:rsidRPr="00A6172E">
              <w:t>8.10.1</w:t>
            </w:r>
          </w:p>
          <w:p w:rsidR="005C69BE" w:rsidRPr="00A6172E" w:rsidRDefault="005C69BE"/>
          <w:p w:rsidR="005C69BE" w:rsidRPr="00A6172E" w:rsidRDefault="005C69BE">
            <w:r w:rsidRPr="00A6172E">
              <w:t>8.10.2</w:t>
            </w:r>
          </w:p>
        </w:tc>
        <w:tc>
          <w:tcPr>
            <w:tcW w:w="4820" w:type="dxa"/>
            <w:shd w:val="clear" w:color="auto" w:fill="auto"/>
          </w:tcPr>
          <w:p w:rsidR="0020179E" w:rsidRPr="00A6172E" w:rsidRDefault="0020179E" w:rsidP="005D51C3">
            <w:r w:rsidRPr="00A6172E">
              <w:t>That the Commissioner considers how the Panel might provide help and support as he develops his plan to respond to points raised by the Crawford Review.</w:t>
            </w:r>
          </w:p>
          <w:p w:rsidR="005C69BE" w:rsidRPr="00A6172E" w:rsidRDefault="005C69BE" w:rsidP="005D51C3">
            <w:r w:rsidRPr="00A6172E">
              <w:t xml:space="preserve">That the Commissioner shares the implementation plan with the Panel as soon as possible </w:t>
            </w:r>
          </w:p>
        </w:tc>
        <w:tc>
          <w:tcPr>
            <w:tcW w:w="1275" w:type="dxa"/>
            <w:shd w:val="clear" w:color="auto" w:fill="auto"/>
          </w:tcPr>
          <w:p w:rsidR="0020179E" w:rsidRPr="00A6172E" w:rsidRDefault="0020179E">
            <w:r w:rsidRPr="00A6172E">
              <w:t>PCC</w:t>
            </w:r>
          </w:p>
        </w:tc>
        <w:tc>
          <w:tcPr>
            <w:tcW w:w="1276" w:type="dxa"/>
            <w:shd w:val="clear" w:color="auto" w:fill="auto"/>
          </w:tcPr>
          <w:p w:rsidR="0020179E" w:rsidRPr="00A6172E" w:rsidRDefault="00C339AF">
            <w:r w:rsidRPr="00A6172E">
              <w:t>Ongoing</w:t>
            </w:r>
          </w:p>
        </w:tc>
        <w:tc>
          <w:tcPr>
            <w:tcW w:w="5245" w:type="dxa"/>
            <w:shd w:val="clear" w:color="auto" w:fill="auto"/>
          </w:tcPr>
          <w:p w:rsidR="005C69BE" w:rsidRPr="00A6172E" w:rsidRDefault="005C69BE">
            <w:r w:rsidRPr="00A6172E">
              <w:t>Response from the PCC not due until September</w:t>
            </w:r>
            <w:r w:rsidR="004D7992" w:rsidRPr="00A6172E">
              <w:t xml:space="preserve"> – report back to Panel’s November meeting</w:t>
            </w:r>
          </w:p>
          <w:p w:rsidR="00050DD7" w:rsidRPr="00A6172E" w:rsidRDefault="00050DD7">
            <w:r w:rsidRPr="00A6172E">
              <w:t xml:space="preserve">Report to the October meeting </w:t>
            </w:r>
            <w:r w:rsidR="00C339AF" w:rsidRPr="00A6172E">
              <w:t>–</w:t>
            </w:r>
            <w:r w:rsidRPr="00A6172E">
              <w:t xml:space="preserve"> Completed</w:t>
            </w:r>
          </w:p>
          <w:p w:rsidR="00C339AF" w:rsidRPr="00A6172E" w:rsidRDefault="00C339AF">
            <w:r w:rsidRPr="00A6172E">
              <w:t>Cllr Wassell has volunteered to work with the OPCC on the Crawford Review implementation plan.  Julie Reid to contact the PCP Officers to arrange.</w:t>
            </w:r>
          </w:p>
          <w:p w:rsidR="0044130C" w:rsidRPr="00A6172E" w:rsidRDefault="0044130C">
            <w:r w:rsidRPr="00A6172E">
              <w:t>Initial meeting has already taken place between Cllr Wassell, Julie Reid and PSD.</w:t>
            </w:r>
          </w:p>
        </w:tc>
      </w:tr>
      <w:tr w:rsidR="000E003D" w:rsidRPr="00EC03D6" w:rsidTr="00B50CCC">
        <w:tc>
          <w:tcPr>
            <w:tcW w:w="1135" w:type="dxa"/>
            <w:shd w:val="clear" w:color="auto" w:fill="auto"/>
          </w:tcPr>
          <w:p w:rsidR="000E003D" w:rsidRPr="00A6172E" w:rsidRDefault="000E003D"/>
        </w:tc>
        <w:tc>
          <w:tcPr>
            <w:tcW w:w="992" w:type="dxa"/>
            <w:shd w:val="clear" w:color="auto" w:fill="auto"/>
          </w:tcPr>
          <w:p w:rsidR="000E003D" w:rsidRPr="00A6172E" w:rsidRDefault="000E003D"/>
        </w:tc>
        <w:tc>
          <w:tcPr>
            <w:tcW w:w="4820" w:type="dxa"/>
            <w:shd w:val="clear" w:color="auto" w:fill="auto"/>
          </w:tcPr>
          <w:p w:rsidR="000E003D" w:rsidRPr="00A6172E" w:rsidRDefault="000E003D" w:rsidP="00655D65"/>
        </w:tc>
        <w:tc>
          <w:tcPr>
            <w:tcW w:w="1275" w:type="dxa"/>
            <w:shd w:val="clear" w:color="auto" w:fill="auto"/>
          </w:tcPr>
          <w:p w:rsidR="000E003D" w:rsidRPr="00A6172E" w:rsidRDefault="000E003D"/>
        </w:tc>
        <w:tc>
          <w:tcPr>
            <w:tcW w:w="1276" w:type="dxa"/>
            <w:shd w:val="clear" w:color="auto" w:fill="auto"/>
          </w:tcPr>
          <w:p w:rsidR="000E003D" w:rsidRPr="00A6172E" w:rsidRDefault="000E003D"/>
        </w:tc>
        <w:tc>
          <w:tcPr>
            <w:tcW w:w="5245" w:type="dxa"/>
            <w:shd w:val="clear" w:color="auto" w:fill="auto"/>
          </w:tcPr>
          <w:p w:rsidR="000E003D" w:rsidRPr="00A6172E" w:rsidRDefault="000E003D"/>
        </w:tc>
      </w:tr>
      <w:tr w:rsidR="00651D5C" w:rsidRPr="00EC03D6" w:rsidTr="00B50CCC">
        <w:tc>
          <w:tcPr>
            <w:tcW w:w="1135" w:type="dxa"/>
            <w:shd w:val="clear" w:color="auto" w:fill="auto"/>
          </w:tcPr>
          <w:p w:rsidR="00651D5C" w:rsidRPr="00A6172E" w:rsidRDefault="00741DF6">
            <w:r w:rsidRPr="00A6172E">
              <w:t>12/9/14</w:t>
            </w:r>
          </w:p>
        </w:tc>
        <w:tc>
          <w:tcPr>
            <w:tcW w:w="992" w:type="dxa"/>
            <w:shd w:val="clear" w:color="auto" w:fill="auto"/>
          </w:tcPr>
          <w:p w:rsidR="00741DF6" w:rsidRPr="00A6172E" w:rsidRDefault="00741DF6">
            <w:r w:rsidRPr="00A6172E">
              <w:t>10.8.1</w:t>
            </w:r>
          </w:p>
          <w:p w:rsidR="00EC03D6" w:rsidRPr="00A6172E" w:rsidRDefault="00EC03D6"/>
          <w:p w:rsidR="00EC03D6" w:rsidRPr="00A6172E" w:rsidRDefault="00EC03D6"/>
          <w:p w:rsidR="00EC03D6" w:rsidRPr="00A6172E" w:rsidRDefault="00EC03D6"/>
          <w:p w:rsidR="00EC03D6" w:rsidRPr="00A6172E" w:rsidRDefault="00EC03D6">
            <w:r w:rsidRPr="00A6172E">
              <w:t>10.8.3</w:t>
            </w:r>
          </w:p>
          <w:p w:rsidR="00C339AF" w:rsidRPr="00A6172E" w:rsidRDefault="00C339AF"/>
          <w:p w:rsidR="00C339AF" w:rsidRPr="00A6172E" w:rsidRDefault="00C339AF"/>
          <w:p w:rsidR="00C339AF" w:rsidRPr="00A6172E" w:rsidRDefault="00C339AF"/>
          <w:p w:rsidR="00C339AF" w:rsidRPr="00A6172E" w:rsidRDefault="00C339AF">
            <w:r w:rsidRPr="00A6172E">
              <w:t>10.8.4</w:t>
            </w:r>
          </w:p>
        </w:tc>
        <w:tc>
          <w:tcPr>
            <w:tcW w:w="4820" w:type="dxa"/>
            <w:shd w:val="clear" w:color="auto" w:fill="auto"/>
          </w:tcPr>
          <w:p w:rsidR="00EC03D6" w:rsidRPr="00A6172E" w:rsidRDefault="00741DF6" w:rsidP="009862A1">
            <w:r w:rsidRPr="00A6172E">
              <w:t xml:space="preserve">That the Commissioner provides a comparison of how the DIP funding looked under the previous arrangements and how it will </w:t>
            </w:r>
            <w:r w:rsidR="00EC03D6" w:rsidRPr="00A6172E">
              <w:t xml:space="preserve">be </w:t>
            </w:r>
            <w:r w:rsidRPr="00A6172E">
              <w:t xml:space="preserve">allocated </w:t>
            </w:r>
            <w:r w:rsidR="00EC03D6" w:rsidRPr="00A6172E">
              <w:t xml:space="preserve">and </w:t>
            </w:r>
            <w:r w:rsidRPr="00A6172E">
              <w:t>under the revised arrangements.</w:t>
            </w:r>
          </w:p>
          <w:p w:rsidR="00651D5C" w:rsidRPr="00A6172E" w:rsidRDefault="00EC03D6" w:rsidP="009862A1">
            <w:r w:rsidRPr="00A6172E">
              <w:t xml:space="preserve">This report should also provide information on how the new arrangements of allocating funding will be monitored in order that adequate provision is made in all areas.    </w:t>
            </w:r>
          </w:p>
          <w:p w:rsidR="00C339AF" w:rsidRPr="00A6172E" w:rsidRDefault="00C339AF" w:rsidP="009862A1">
            <w:r w:rsidRPr="00A6172E">
              <w:t>That a report giving a progress update on all the individual recommendations from the DIP review are brought to a future meeting.</w:t>
            </w:r>
          </w:p>
        </w:tc>
        <w:tc>
          <w:tcPr>
            <w:tcW w:w="1275" w:type="dxa"/>
            <w:shd w:val="clear" w:color="auto" w:fill="auto"/>
          </w:tcPr>
          <w:p w:rsidR="00651D5C" w:rsidRPr="00A6172E" w:rsidRDefault="00741DF6">
            <w:r w:rsidRPr="00A6172E">
              <w:t>PCC</w:t>
            </w:r>
          </w:p>
        </w:tc>
        <w:tc>
          <w:tcPr>
            <w:tcW w:w="1276" w:type="dxa"/>
            <w:shd w:val="clear" w:color="auto" w:fill="auto"/>
          </w:tcPr>
          <w:p w:rsidR="00651D5C" w:rsidRPr="00A6172E" w:rsidRDefault="00165177">
            <w:r w:rsidRPr="00A6172E">
              <w:t>24</w:t>
            </w:r>
            <w:r w:rsidR="00C339AF" w:rsidRPr="00A6172E">
              <w:t xml:space="preserve"> April 15</w:t>
            </w:r>
          </w:p>
        </w:tc>
        <w:tc>
          <w:tcPr>
            <w:tcW w:w="5245" w:type="dxa"/>
            <w:shd w:val="clear" w:color="auto" w:fill="auto"/>
          </w:tcPr>
          <w:p w:rsidR="00DB3EC1" w:rsidRPr="00A6172E" w:rsidRDefault="00C339AF" w:rsidP="00EC03D6">
            <w:r w:rsidRPr="00A6172E">
              <w:t>Request for the DIP funding to be allocated based on population and crime stats. Take into account the address of the perpetrator which may be different from the district the crime was committed in and how funding is allocated to cover this.</w:t>
            </w:r>
          </w:p>
        </w:tc>
      </w:tr>
      <w:tr w:rsidR="00EC03D6" w:rsidRPr="00EC03D6" w:rsidTr="00B50CCC">
        <w:tc>
          <w:tcPr>
            <w:tcW w:w="1135" w:type="dxa"/>
            <w:shd w:val="clear" w:color="auto" w:fill="auto"/>
          </w:tcPr>
          <w:p w:rsidR="00EC03D6" w:rsidRPr="00A6172E" w:rsidRDefault="00EC03D6"/>
        </w:tc>
        <w:tc>
          <w:tcPr>
            <w:tcW w:w="992" w:type="dxa"/>
            <w:shd w:val="clear" w:color="auto" w:fill="auto"/>
          </w:tcPr>
          <w:p w:rsidR="00EC03D6" w:rsidRPr="00A6172E" w:rsidRDefault="00EC03D6"/>
        </w:tc>
        <w:tc>
          <w:tcPr>
            <w:tcW w:w="4820" w:type="dxa"/>
            <w:shd w:val="clear" w:color="auto" w:fill="auto"/>
          </w:tcPr>
          <w:p w:rsidR="00EC03D6" w:rsidRPr="00A6172E" w:rsidRDefault="00EC03D6" w:rsidP="00EC03D6"/>
        </w:tc>
        <w:tc>
          <w:tcPr>
            <w:tcW w:w="1275" w:type="dxa"/>
            <w:shd w:val="clear" w:color="auto" w:fill="auto"/>
          </w:tcPr>
          <w:p w:rsidR="00EC03D6" w:rsidRPr="00A6172E" w:rsidRDefault="00EC03D6"/>
        </w:tc>
        <w:tc>
          <w:tcPr>
            <w:tcW w:w="1276" w:type="dxa"/>
            <w:shd w:val="clear" w:color="auto" w:fill="auto"/>
          </w:tcPr>
          <w:p w:rsidR="00EC03D6" w:rsidRPr="00A6172E" w:rsidRDefault="00EC03D6"/>
        </w:tc>
        <w:tc>
          <w:tcPr>
            <w:tcW w:w="5245" w:type="dxa"/>
            <w:shd w:val="clear" w:color="auto" w:fill="auto"/>
          </w:tcPr>
          <w:p w:rsidR="00EC03D6" w:rsidRPr="00A6172E" w:rsidRDefault="00EC03D6"/>
        </w:tc>
      </w:tr>
      <w:tr w:rsidR="00741DF6" w:rsidRPr="00EC03D6" w:rsidTr="00B50CCC">
        <w:tc>
          <w:tcPr>
            <w:tcW w:w="1135" w:type="dxa"/>
            <w:shd w:val="clear" w:color="auto" w:fill="auto"/>
          </w:tcPr>
          <w:p w:rsidR="00741DF6" w:rsidRPr="00A6172E" w:rsidRDefault="00EC03D6">
            <w:r w:rsidRPr="00A6172E">
              <w:lastRenderedPageBreak/>
              <w:t>12/9/14</w:t>
            </w:r>
          </w:p>
        </w:tc>
        <w:tc>
          <w:tcPr>
            <w:tcW w:w="992" w:type="dxa"/>
            <w:shd w:val="clear" w:color="auto" w:fill="auto"/>
          </w:tcPr>
          <w:p w:rsidR="00741DF6" w:rsidRPr="00A6172E" w:rsidRDefault="00EC03D6">
            <w:r w:rsidRPr="00A6172E">
              <w:t>14.7.1</w:t>
            </w:r>
          </w:p>
        </w:tc>
        <w:tc>
          <w:tcPr>
            <w:tcW w:w="4820" w:type="dxa"/>
            <w:shd w:val="clear" w:color="auto" w:fill="auto"/>
          </w:tcPr>
          <w:p w:rsidR="00EC03D6" w:rsidRPr="00A6172E" w:rsidRDefault="00EC03D6" w:rsidP="00EC03D6">
            <w:r w:rsidRPr="00A6172E">
              <w:t>That the Commissioner provides a report to the Panel within six months on the progress made against the recommendations highlighted within HMIC’s Crime Data Integrity report.</w:t>
            </w:r>
          </w:p>
          <w:p w:rsidR="00741DF6" w:rsidRPr="00A6172E" w:rsidRDefault="00741DF6" w:rsidP="009862A1"/>
        </w:tc>
        <w:tc>
          <w:tcPr>
            <w:tcW w:w="1275" w:type="dxa"/>
            <w:shd w:val="clear" w:color="auto" w:fill="auto"/>
          </w:tcPr>
          <w:p w:rsidR="00741DF6" w:rsidRPr="00A6172E" w:rsidRDefault="00EC03D6">
            <w:r w:rsidRPr="00A6172E">
              <w:t>PCC</w:t>
            </w:r>
          </w:p>
        </w:tc>
        <w:tc>
          <w:tcPr>
            <w:tcW w:w="1276" w:type="dxa"/>
            <w:shd w:val="clear" w:color="auto" w:fill="auto"/>
          </w:tcPr>
          <w:p w:rsidR="00741DF6" w:rsidRPr="00A6172E" w:rsidRDefault="00EC03D6">
            <w:r w:rsidRPr="00A6172E">
              <w:t>6 Mar 15</w:t>
            </w:r>
          </w:p>
        </w:tc>
        <w:tc>
          <w:tcPr>
            <w:tcW w:w="5245" w:type="dxa"/>
            <w:shd w:val="clear" w:color="auto" w:fill="auto"/>
          </w:tcPr>
          <w:p w:rsidR="00741DF6" w:rsidRPr="00A6172E" w:rsidRDefault="00EC03D6">
            <w:r w:rsidRPr="00A6172E">
              <w:t>Specific concern from Panel over historical CSE crime recording to be addressed.</w:t>
            </w:r>
          </w:p>
        </w:tc>
      </w:tr>
      <w:tr w:rsidR="00741DF6" w:rsidRPr="00EC03D6" w:rsidTr="00B50CCC">
        <w:tc>
          <w:tcPr>
            <w:tcW w:w="1135" w:type="dxa"/>
            <w:shd w:val="clear" w:color="auto" w:fill="auto"/>
          </w:tcPr>
          <w:p w:rsidR="00741DF6" w:rsidRPr="00A6172E" w:rsidRDefault="00741DF6"/>
        </w:tc>
        <w:tc>
          <w:tcPr>
            <w:tcW w:w="992" w:type="dxa"/>
            <w:shd w:val="clear" w:color="auto" w:fill="auto"/>
          </w:tcPr>
          <w:p w:rsidR="00741DF6" w:rsidRPr="00A6172E" w:rsidRDefault="00741DF6"/>
        </w:tc>
        <w:tc>
          <w:tcPr>
            <w:tcW w:w="4820" w:type="dxa"/>
            <w:shd w:val="clear" w:color="auto" w:fill="auto"/>
          </w:tcPr>
          <w:p w:rsidR="00741DF6" w:rsidRPr="00A6172E" w:rsidRDefault="00741DF6" w:rsidP="009862A1"/>
        </w:tc>
        <w:tc>
          <w:tcPr>
            <w:tcW w:w="1275" w:type="dxa"/>
            <w:shd w:val="clear" w:color="auto" w:fill="auto"/>
          </w:tcPr>
          <w:p w:rsidR="00741DF6" w:rsidRPr="00A6172E" w:rsidRDefault="00741DF6"/>
        </w:tc>
        <w:tc>
          <w:tcPr>
            <w:tcW w:w="1276" w:type="dxa"/>
            <w:shd w:val="clear" w:color="auto" w:fill="auto"/>
          </w:tcPr>
          <w:p w:rsidR="00741DF6" w:rsidRPr="00A6172E" w:rsidRDefault="00741DF6"/>
        </w:tc>
        <w:tc>
          <w:tcPr>
            <w:tcW w:w="5245" w:type="dxa"/>
            <w:shd w:val="clear" w:color="auto" w:fill="auto"/>
          </w:tcPr>
          <w:p w:rsidR="00741DF6" w:rsidRPr="00A6172E" w:rsidRDefault="00741DF6"/>
        </w:tc>
      </w:tr>
      <w:tr w:rsidR="00403639" w:rsidRPr="00EC03D6" w:rsidTr="00B50CCC">
        <w:tc>
          <w:tcPr>
            <w:tcW w:w="1135" w:type="dxa"/>
            <w:shd w:val="clear" w:color="auto" w:fill="auto"/>
          </w:tcPr>
          <w:p w:rsidR="00403639" w:rsidRPr="00A6172E" w:rsidRDefault="00403639">
            <w:r w:rsidRPr="00A6172E">
              <w:t>7/11/14</w:t>
            </w:r>
          </w:p>
        </w:tc>
        <w:tc>
          <w:tcPr>
            <w:tcW w:w="992" w:type="dxa"/>
            <w:shd w:val="clear" w:color="auto" w:fill="auto"/>
          </w:tcPr>
          <w:p w:rsidR="00403639" w:rsidRPr="00A6172E" w:rsidRDefault="00CB2FD7">
            <w:r w:rsidRPr="00A6172E">
              <w:t>5.7.1</w:t>
            </w:r>
          </w:p>
        </w:tc>
        <w:tc>
          <w:tcPr>
            <w:tcW w:w="4820" w:type="dxa"/>
            <w:shd w:val="clear" w:color="auto" w:fill="auto"/>
          </w:tcPr>
          <w:p w:rsidR="00403639" w:rsidRPr="00A6172E" w:rsidRDefault="00CB2FD7" w:rsidP="00CB2FD7">
            <w:r w:rsidRPr="00A6172E">
              <w:t xml:space="preserve">That the Commissioner brings a report on the strategic workforce plan to a future meeting of the Panel. </w:t>
            </w:r>
          </w:p>
        </w:tc>
        <w:tc>
          <w:tcPr>
            <w:tcW w:w="1275" w:type="dxa"/>
            <w:shd w:val="clear" w:color="auto" w:fill="auto"/>
          </w:tcPr>
          <w:p w:rsidR="00403639" w:rsidRPr="00A6172E" w:rsidRDefault="00CB2FD7">
            <w:r w:rsidRPr="00A6172E">
              <w:t>PCC</w:t>
            </w:r>
          </w:p>
        </w:tc>
        <w:tc>
          <w:tcPr>
            <w:tcW w:w="1276" w:type="dxa"/>
            <w:shd w:val="clear" w:color="auto" w:fill="auto"/>
          </w:tcPr>
          <w:p w:rsidR="00403639" w:rsidRPr="00A6172E" w:rsidRDefault="00AC5B77">
            <w:r w:rsidRPr="00A6172E">
              <w:t>6 Mar 15</w:t>
            </w:r>
          </w:p>
        </w:tc>
        <w:tc>
          <w:tcPr>
            <w:tcW w:w="5245" w:type="dxa"/>
            <w:shd w:val="clear" w:color="auto" w:fill="auto"/>
          </w:tcPr>
          <w:p w:rsidR="00403639" w:rsidRPr="00A6172E" w:rsidRDefault="00AC5B77">
            <w:r w:rsidRPr="00A6172E">
              <w:t>To form part of the private meeting with Members agreed on 6 Feb.</w:t>
            </w:r>
          </w:p>
          <w:p w:rsidR="00AC5B77" w:rsidRPr="00A6172E" w:rsidRDefault="00AC5B77"/>
        </w:tc>
      </w:tr>
      <w:tr w:rsidR="00403639" w:rsidRPr="00EC03D6" w:rsidTr="00B50CCC">
        <w:tc>
          <w:tcPr>
            <w:tcW w:w="1135" w:type="dxa"/>
            <w:shd w:val="clear" w:color="auto" w:fill="auto"/>
          </w:tcPr>
          <w:p w:rsidR="00403639" w:rsidRPr="00A6172E" w:rsidRDefault="00403639"/>
        </w:tc>
        <w:tc>
          <w:tcPr>
            <w:tcW w:w="992" w:type="dxa"/>
            <w:shd w:val="clear" w:color="auto" w:fill="auto"/>
          </w:tcPr>
          <w:p w:rsidR="00403639" w:rsidRPr="00A6172E" w:rsidRDefault="00403639"/>
        </w:tc>
        <w:tc>
          <w:tcPr>
            <w:tcW w:w="4820" w:type="dxa"/>
            <w:shd w:val="clear" w:color="auto" w:fill="auto"/>
          </w:tcPr>
          <w:p w:rsidR="00403639" w:rsidRPr="00A6172E" w:rsidRDefault="00403639" w:rsidP="009862A1"/>
        </w:tc>
        <w:tc>
          <w:tcPr>
            <w:tcW w:w="1275" w:type="dxa"/>
            <w:shd w:val="clear" w:color="auto" w:fill="auto"/>
          </w:tcPr>
          <w:p w:rsidR="00403639" w:rsidRPr="00A6172E" w:rsidRDefault="00403639"/>
        </w:tc>
        <w:tc>
          <w:tcPr>
            <w:tcW w:w="1276" w:type="dxa"/>
            <w:shd w:val="clear" w:color="auto" w:fill="auto"/>
          </w:tcPr>
          <w:p w:rsidR="00403639" w:rsidRPr="00A6172E" w:rsidRDefault="00403639"/>
        </w:tc>
        <w:tc>
          <w:tcPr>
            <w:tcW w:w="5245" w:type="dxa"/>
            <w:shd w:val="clear" w:color="auto" w:fill="auto"/>
          </w:tcPr>
          <w:p w:rsidR="00403639" w:rsidRPr="00A6172E" w:rsidRDefault="00403639"/>
        </w:tc>
      </w:tr>
      <w:tr w:rsidR="00CB2FD7" w:rsidRPr="00EC03D6" w:rsidTr="00B50CCC">
        <w:tc>
          <w:tcPr>
            <w:tcW w:w="1135" w:type="dxa"/>
            <w:shd w:val="clear" w:color="auto" w:fill="auto"/>
          </w:tcPr>
          <w:p w:rsidR="00CB2FD7" w:rsidRPr="00A6172E" w:rsidRDefault="00CB2FD7">
            <w:r w:rsidRPr="00A6172E">
              <w:t>7/11/14</w:t>
            </w:r>
          </w:p>
        </w:tc>
        <w:tc>
          <w:tcPr>
            <w:tcW w:w="992" w:type="dxa"/>
            <w:shd w:val="clear" w:color="auto" w:fill="auto"/>
          </w:tcPr>
          <w:p w:rsidR="00CB2FD7" w:rsidRPr="00A6172E" w:rsidRDefault="00CB2FD7">
            <w:r w:rsidRPr="00A6172E">
              <w:t>5.7.2</w:t>
            </w:r>
          </w:p>
        </w:tc>
        <w:tc>
          <w:tcPr>
            <w:tcW w:w="4820" w:type="dxa"/>
            <w:shd w:val="clear" w:color="auto" w:fill="auto"/>
          </w:tcPr>
          <w:p w:rsidR="00CB2FD7" w:rsidRPr="00A6172E" w:rsidRDefault="00CB2FD7" w:rsidP="009862A1">
            <w:r w:rsidRPr="00A6172E">
              <w:t xml:space="preserve">That the Commissioner provides information to the Panel on the status of the review of the Divisional Resourcing Model. </w:t>
            </w:r>
          </w:p>
        </w:tc>
        <w:tc>
          <w:tcPr>
            <w:tcW w:w="1275" w:type="dxa"/>
            <w:shd w:val="clear" w:color="auto" w:fill="auto"/>
          </w:tcPr>
          <w:p w:rsidR="00CB2FD7" w:rsidRPr="00A6172E" w:rsidRDefault="00CB2FD7">
            <w:r w:rsidRPr="00A6172E">
              <w:t>PCC</w:t>
            </w:r>
          </w:p>
        </w:tc>
        <w:tc>
          <w:tcPr>
            <w:tcW w:w="1276" w:type="dxa"/>
            <w:shd w:val="clear" w:color="auto" w:fill="auto"/>
          </w:tcPr>
          <w:p w:rsidR="00CB2FD7" w:rsidRPr="00B50CCC" w:rsidRDefault="00BC0454">
            <w:r w:rsidRPr="00B50CCC">
              <w:t>ASAP</w:t>
            </w:r>
          </w:p>
        </w:tc>
        <w:tc>
          <w:tcPr>
            <w:tcW w:w="5245" w:type="dxa"/>
            <w:shd w:val="clear" w:color="auto" w:fill="auto"/>
          </w:tcPr>
          <w:p w:rsidR="00CB2FD7" w:rsidRPr="00B50CCC" w:rsidRDefault="00827EFE" w:rsidP="00CB2FD7">
            <w:r w:rsidRPr="00B50CCC">
              <w:t>Panel to receive an update on the way the new funding formula is going to work.</w:t>
            </w:r>
          </w:p>
          <w:p w:rsidR="0044130C" w:rsidRPr="00B50CCC" w:rsidRDefault="0044130C" w:rsidP="00CB2FD7">
            <w:r w:rsidRPr="00B50CCC">
              <w:t>PCC explained Ward Based Needs Assessment took place not a review of the Divisional Resourcing model.</w:t>
            </w:r>
            <w:r w:rsidR="00B95A06" w:rsidRPr="00B50CCC">
              <w:t xml:space="preserve"> Information to be shared outside of the meeting cycle.</w:t>
            </w:r>
          </w:p>
          <w:p w:rsidR="00AC5B77" w:rsidRPr="00B50CCC" w:rsidRDefault="00AC5B77" w:rsidP="00CB2FD7">
            <w:r w:rsidRPr="00B50CCC">
              <w:t>Still awaiting comparative information</w:t>
            </w:r>
          </w:p>
        </w:tc>
      </w:tr>
      <w:tr w:rsidR="00CB2FD7" w:rsidRPr="00EC03D6" w:rsidTr="00B50CCC">
        <w:tc>
          <w:tcPr>
            <w:tcW w:w="1135" w:type="dxa"/>
            <w:shd w:val="clear" w:color="auto" w:fill="auto"/>
          </w:tcPr>
          <w:p w:rsidR="00CB2FD7" w:rsidRPr="00A6172E" w:rsidRDefault="00CB2FD7"/>
        </w:tc>
        <w:tc>
          <w:tcPr>
            <w:tcW w:w="992" w:type="dxa"/>
            <w:shd w:val="clear" w:color="auto" w:fill="auto"/>
          </w:tcPr>
          <w:p w:rsidR="00CB2FD7" w:rsidRPr="00A6172E" w:rsidRDefault="00CB2FD7"/>
        </w:tc>
        <w:tc>
          <w:tcPr>
            <w:tcW w:w="4820" w:type="dxa"/>
            <w:shd w:val="clear" w:color="auto" w:fill="auto"/>
          </w:tcPr>
          <w:p w:rsidR="00CB2FD7" w:rsidRPr="00A6172E" w:rsidRDefault="00CB2FD7" w:rsidP="009862A1"/>
        </w:tc>
        <w:tc>
          <w:tcPr>
            <w:tcW w:w="1275" w:type="dxa"/>
            <w:shd w:val="clear" w:color="auto" w:fill="auto"/>
          </w:tcPr>
          <w:p w:rsidR="00CB2FD7" w:rsidRPr="00A6172E" w:rsidRDefault="00CB2FD7"/>
        </w:tc>
        <w:tc>
          <w:tcPr>
            <w:tcW w:w="1276" w:type="dxa"/>
            <w:shd w:val="clear" w:color="auto" w:fill="auto"/>
          </w:tcPr>
          <w:p w:rsidR="00CB2FD7" w:rsidRPr="00A6172E" w:rsidRDefault="00CB2FD7"/>
        </w:tc>
        <w:tc>
          <w:tcPr>
            <w:tcW w:w="5245" w:type="dxa"/>
            <w:shd w:val="clear" w:color="auto" w:fill="auto"/>
          </w:tcPr>
          <w:p w:rsidR="00CB2FD7" w:rsidRPr="00A6172E" w:rsidRDefault="00CB2FD7" w:rsidP="00CB2FD7"/>
        </w:tc>
      </w:tr>
      <w:tr w:rsidR="00CB2FD7" w:rsidRPr="00EC03D6" w:rsidTr="00B50CCC">
        <w:tc>
          <w:tcPr>
            <w:tcW w:w="1135" w:type="dxa"/>
            <w:shd w:val="clear" w:color="auto" w:fill="auto"/>
          </w:tcPr>
          <w:p w:rsidR="00CB2FD7" w:rsidRPr="00A6172E" w:rsidRDefault="00CB2FD7">
            <w:r w:rsidRPr="00A6172E">
              <w:t>7/11/14</w:t>
            </w:r>
          </w:p>
        </w:tc>
        <w:tc>
          <w:tcPr>
            <w:tcW w:w="992" w:type="dxa"/>
            <w:shd w:val="clear" w:color="auto" w:fill="auto"/>
          </w:tcPr>
          <w:p w:rsidR="00CB2FD7" w:rsidRPr="00A6172E" w:rsidRDefault="00CB2FD7">
            <w:r w:rsidRPr="00A6172E">
              <w:t>6.4.1</w:t>
            </w:r>
          </w:p>
        </w:tc>
        <w:tc>
          <w:tcPr>
            <w:tcW w:w="4820" w:type="dxa"/>
            <w:shd w:val="clear" w:color="auto" w:fill="auto"/>
          </w:tcPr>
          <w:p w:rsidR="00CB2FD7" w:rsidRPr="00A6172E" w:rsidRDefault="00CB2FD7" w:rsidP="009862A1">
            <w:r w:rsidRPr="00A6172E">
              <w:t xml:space="preserve">Victim Services – </w:t>
            </w:r>
            <w:proofErr w:type="gramStart"/>
            <w:r w:rsidRPr="00A6172E">
              <w:t>That</w:t>
            </w:r>
            <w:proofErr w:type="gramEnd"/>
            <w:r w:rsidRPr="00A6172E">
              <w:t xml:space="preserve"> the Commissioner brings a high-level evaluation report of the sixteen victim services projects in the new year</w:t>
            </w:r>
            <w:r w:rsidR="00827EFE" w:rsidRPr="00A6172E">
              <w:t>.</w:t>
            </w:r>
          </w:p>
          <w:p w:rsidR="0044130C" w:rsidRPr="00A6172E" w:rsidRDefault="0044130C" w:rsidP="009862A1"/>
        </w:tc>
        <w:tc>
          <w:tcPr>
            <w:tcW w:w="1275" w:type="dxa"/>
            <w:shd w:val="clear" w:color="auto" w:fill="auto"/>
          </w:tcPr>
          <w:p w:rsidR="00CB2FD7" w:rsidRPr="00A6172E" w:rsidRDefault="00CB2FD7">
            <w:r w:rsidRPr="00A6172E">
              <w:t>PCC</w:t>
            </w:r>
          </w:p>
        </w:tc>
        <w:tc>
          <w:tcPr>
            <w:tcW w:w="1276" w:type="dxa"/>
            <w:shd w:val="clear" w:color="auto" w:fill="auto"/>
          </w:tcPr>
          <w:p w:rsidR="00CB2FD7" w:rsidRPr="00A6172E" w:rsidRDefault="00165177" w:rsidP="00165177">
            <w:r w:rsidRPr="00A6172E">
              <w:t>24 April 15</w:t>
            </w:r>
          </w:p>
        </w:tc>
        <w:tc>
          <w:tcPr>
            <w:tcW w:w="5245" w:type="dxa"/>
            <w:shd w:val="clear" w:color="auto" w:fill="auto"/>
          </w:tcPr>
          <w:p w:rsidR="00CB2FD7" w:rsidRPr="00A6172E" w:rsidRDefault="00CB2FD7" w:rsidP="00CB2FD7"/>
        </w:tc>
      </w:tr>
      <w:tr w:rsidR="00CB2FD7" w:rsidRPr="00EC03D6" w:rsidTr="00B50CCC">
        <w:tc>
          <w:tcPr>
            <w:tcW w:w="1135" w:type="dxa"/>
            <w:shd w:val="clear" w:color="auto" w:fill="auto"/>
          </w:tcPr>
          <w:p w:rsidR="00CB2FD7" w:rsidRPr="00A6172E" w:rsidRDefault="00CB2FD7">
            <w:r w:rsidRPr="00A6172E">
              <w:t>7/11/14</w:t>
            </w:r>
          </w:p>
        </w:tc>
        <w:tc>
          <w:tcPr>
            <w:tcW w:w="992" w:type="dxa"/>
            <w:shd w:val="clear" w:color="auto" w:fill="auto"/>
          </w:tcPr>
          <w:p w:rsidR="00CB2FD7" w:rsidRPr="00A6172E" w:rsidRDefault="00CB2FD7">
            <w:r w:rsidRPr="00A6172E">
              <w:t>6.4.2</w:t>
            </w:r>
          </w:p>
        </w:tc>
        <w:tc>
          <w:tcPr>
            <w:tcW w:w="4820" w:type="dxa"/>
            <w:shd w:val="clear" w:color="auto" w:fill="auto"/>
          </w:tcPr>
          <w:p w:rsidR="00CB2FD7" w:rsidRPr="00A6172E" w:rsidRDefault="00CB2FD7" w:rsidP="00CB2FD7">
            <w:r w:rsidRPr="00A6172E">
              <w:t>Out of Court Disposal Pilot – that the Commissioner provides a report to the Panel on the pilot the new out of court disposals in West Yorkshire</w:t>
            </w:r>
          </w:p>
        </w:tc>
        <w:tc>
          <w:tcPr>
            <w:tcW w:w="1275" w:type="dxa"/>
            <w:shd w:val="clear" w:color="auto" w:fill="auto"/>
          </w:tcPr>
          <w:p w:rsidR="00CB2FD7" w:rsidRPr="00A6172E" w:rsidRDefault="00CB2FD7">
            <w:r w:rsidRPr="00A6172E">
              <w:t>PCC</w:t>
            </w:r>
          </w:p>
        </w:tc>
        <w:tc>
          <w:tcPr>
            <w:tcW w:w="1276" w:type="dxa"/>
            <w:shd w:val="clear" w:color="auto" w:fill="auto"/>
          </w:tcPr>
          <w:p w:rsidR="00CB2FD7" w:rsidRPr="00A6172E" w:rsidRDefault="00165177">
            <w:r w:rsidRPr="00A6172E">
              <w:t>6 Mar 15</w:t>
            </w:r>
          </w:p>
        </w:tc>
        <w:tc>
          <w:tcPr>
            <w:tcW w:w="5245" w:type="dxa"/>
            <w:shd w:val="clear" w:color="auto" w:fill="auto"/>
          </w:tcPr>
          <w:p w:rsidR="00CB2FD7" w:rsidRPr="00A6172E" w:rsidRDefault="00CB2FD7" w:rsidP="00CB2FD7"/>
        </w:tc>
      </w:tr>
      <w:tr w:rsidR="00C8346F" w:rsidRPr="00EC03D6" w:rsidTr="00B50CCC">
        <w:tc>
          <w:tcPr>
            <w:tcW w:w="1135" w:type="dxa"/>
            <w:shd w:val="clear" w:color="auto" w:fill="auto"/>
          </w:tcPr>
          <w:p w:rsidR="00C8346F" w:rsidRPr="00A6172E" w:rsidRDefault="00C8346F"/>
        </w:tc>
        <w:tc>
          <w:tcPr>
            <w:tcW w:w="992" w:type="dxa"/>
            <w:shd w:val="clear" w:color="auto" w:fill="auto"/>
          </w:tcPr>
          <w:p w:rsidR="00C8346F" w:rsidRPr="00A6172E" w:rsidRDefault="00C8346F"/>
        </w:tc>
        <w:tc>
          <w:tcPr>
            <w:tcW w:w="4820" w:type="dxa"/>
            <w:shd w:val="clear" w:color="auto" w:fill="auto"/>
          </w:tcPr>
          <w:p w:rsidR="00C8346F" w:rsidRPr="00A6172E" w:rsidRDefault="00C8346F" w:rsidP="00CB2FD7"/>
        </w:tc>
        <w:tc>
          <w:tcPr>
            <w:tcW w:w="1275" w:type="dxa"/>
            <w:shd w:val="clear" w:color="auto" w:fill="auto"/>
          </w:tcPr>
          <w:p w:rsidR="00C8346F" w:rsidRPr="00A6172E" w:rsidRDefault="00C8346F"/>
        </w:tc>
        <w:tc>
          <w:tcPr>
            <w:tcW w:w="1276" w:type="dxa"/>
            <w:shd w:val="clear" w:color="auto" w:fill="auto"/>
          </w:tcPr>
          <w:p w:rsidR="00C8346F" w:rsidRPr="00A6172E" w:rsidRDefault="00C8346F"/>
        </w:tc>
        <w:tc>
          <w:tcPr>
            <w:tcW w:w="5245" w:type="dxa"/>
            <w:shd w:val="clear" w:color="auto" w:fill="auto"/>
          </w:tcPr>
          <w:p w:rsidR="00C8346F" w:rsidRPr="00A6172E" w:rsidRDefault="00C8346F" w:rsidP="00CB2FD7"/>
        </w:tc>
      </w:tr>
      <w:tr w:rsidR="00C8346F" w:rsidRPr="00EC03D6" w:rsidTr="00B50CCC">
        <w:tc>
          <w:tcPr>
            <w:tcW w:w="1135" w:type="dxa"/>
            <w:shd w:val="clear" w:color="auto" w:fill="auto"/>
          </w:tcPr>
          <w:p w:rsidR="00C8346F" w:rsidRPr="00A6172E" w:rsidRDefault="00C8346F" w:rsidP="00C8346F">
            <w:r w:rsidRPr="00A6172E">
              <w:t xml:space="preserve">7/11/14 </w:t>
            </w:r>
          </w:p>
        </w:tc>
        <w:tc>
          <w:tcPr>
            <w:tcW w:w="992" w:type="dxa"/>
            <w:shd w:val="clear" w:color="auto" w:fill="auto"/>
          </w:tcPr>
          <w:p w:rsidR="00C8346F" w:rsidRPr="00A6172E" w:rsidRDefault="00C8346F">
            <w:r w:rsidRPr="00A6172E">
              <w:t>7.5.1</w:t>
            </w:r>
          </w:p>
        </w:tc>
        <w:tc>
          <w:tcPr>
            <w:tcW w:w="4820" w:type="dxa"/>
            <w:shd w:val="clear" w:color="auto" w:fill="auto"/>
          </w:tcPr>
          <w:p w:rsidR="00C8346F" w:rsidRPr="00A6172E" w:rsidRDefault="00C8346F" w:rsidP="00C8346F">
            <w:r w:rsidRPr="00A6172E">
              <w:t>That the Commissioner provide panel with details of the terms of reference and scope of the governance review which is currently being undertaken</w:t>
            </w:r>
          </w:p>
        </w:tc>
        <w:tc>
          <w:tcPr>
            <w:tcW w:w="1275" w:type="dxa"/>
            <w:shd w:val="clear" w:color="auto" w:fill="auto"/>
          </w:tcPr>
          <w:p w:rsidR="00C8346F" w:rsidRPr="00A6172E" w:rsidRDefault="00C8346F">
            <w:r w:rsidRPr="00A6172E">
              <w:t>PCC</w:t>
            </w:r>
          </w:p>
        </w:tc>
        <w:tc>
          <w:tcPr>
            <w:tcW w:w="1276" w:type="dxa"/>
            <w:shd w:val="clear" w:color="auto" w:fill="auto"/>
          </w:tcPr>
          <w:p w:rsidR="00C8346F" w:rsidRPr="00A6172E" w:rsidRDefault="00C8346F" w:rsidP="00C8346F">
            <w:r w:rsidRPr="00A6172E">
              <w:t>ASAP</w:t>
            </w:r>
          </w:p>
        </w:tc>
        <w:tc>
          <w:tcPr>
            <w:tcW w:w="5245" w:type="dxa"/>
            <w:shd w:val="clear" w:color="auto" w:fill="auto"/>
          </w:tcPr>
          <w:p w:rsidR="00AC5B77" w:rsidRPr="00A6172E" w:rsidRDefault="00AC5B77" w:rsidP="00CB2FD7">
            <w:r w:rsidRPr="00A6172E">
              <w:t>COMPLETED</w:t>
            </w:r>
          </w:p>
          <w:p w:rsidR="00B95A06" w:rsidRPr="00A6172E" w:rsidRDefault="00AC5B77" w:rsidP="00CB2FD7">
            <w:r w:rsidRPr="00A6172E">
              <w:t>Deputy PCC provided an update to Members on 15 January 15.</w:t>
            </w:r>
          </w:p>
          <w:p w:rsidR="00AC5B77" w:rsidRPr="00A6172E" w:rsidRDefault="00AC5B77" w:rsidP="00CB2FD7"/>
        </w:tc>
      </w:tr>
      <w:tr w:rsidR="00C8346F" w:rsidRPr="00EC03D6" w:rsidTr="00B50CCC">
        <w:tc>
          <w:tcPr>
            <w:tcW w:w="1135" w:type="dxa"/>
            <w:shd w:val="clear" w:color="auto" w:fill="auto"/>
          </w:tcPr>
          <w:p w:rsidR="00C8346F" w:rsidRPr="00A6172E" w:rsidRDefault="00C8346F" w:rsidP="00C8346F"/>
        </w:tc>
        <w:tc>
          <w:tcPr>
            <w:tcW w:w="992" w:type="dxa"/>
            <w:shd w:val="clear" w:color="auto" w:fill="auto"/>
          </w:tcPr>
          <w:p w:rsidR="00C8346F" w:rsidRPr="00A6172E" w:rsidRDefault="00C8346F"/>
        </w:tc>
        <w:tc>
          <w:tcPr>
            <w:tcW w:w="4820" w:type="dxa"/>
            <w:shd w:val="clear" w:color="auto" w:fill="auto"/>
          </w:tcPr>
          <w:p w:rsidR="00C8346F" w:rsidRPr="00A6172E" w:rsidRDefault="00C8346F" w:rsidP="00C8346F"/>
        </w:tc>
        <w:tc>
          <w:tcPr>
            <w:tcW w:w="1275" w:type="dxa"/>
            <w:shd w:val="clear" w:color="auto" w:fill="auto"/>
          </w:tcPr>
          <w:p w:rsidR="00C8346F" w:rsidRPr="00A6172E" w:rsidRDefault="00C8346F"/>
        </w:tc>
        <w:tc>
          <w:tcPr>
            <w:tcW w:w="1276" w:type="dxa"/>
            <w:shd w:val="clear" w:color="auto" w:fill="auto"/>
          </w:tcPr>
          <w:p w:rsidR="00C8346F" w:rsidRPr="00A6172E" w:rsidRDefault="00C8346F" w:rsidP="00C8346F"/>
        </w:tc>
        <w:tc>
          <w:tcPr>
            <w:tcW w:w="5245" w:type="dxa"/>
            <w:shd w:val="clear" w:color="auto" w:fill="auto"/>
          </w:tcPr>
          <w:p w:rsidR="00C8346F" w:rsidRPr="00A6172E" w:rsidRDefault="00C8346F" w:rsidP="00CB2FD7"/>
        </w:tc>
      </w:tr>
      <w:tr w:rsidR="00C8346F" w:rsidRPr="00EC03D6" w:rsidTr="00B50CCC">
        <w:tc>
          <w:tcPr>
            <w:tcW w:w="1135" w:type="dxa"/>
            <w:shd w:val="clear" w:color="auto" w:fill="auto"/>
          </w:tcPr>
          <w:p w:rsidR="00C8346F" w:rsidRPr="00A6172E" w:rsidRDefault="00C8346F" w:rsidP="00C8346F">
            <w:r w:rsidRPr="00A6172E">
              <w:t>7/11/14</w:t>
            </w:r>
          </w:p>
        </w:tc>
        <w:tc>
          <w:tcPr>
            <w:tcW w:w="992" w:type="dxa"/>
            <w:shd w:val="clear" w:color="auto" w:fill="auto"/>
          </w:tcPr>
          <w:p w:rsidR="00C8346F" w:rsidRPr="00A6172E" w:rsidRDefault="00C8346F">
            <w:r w:rsidRPr="00A6172E">
              <w:t>7.5.2</w:t>
            </w:r>
          </w:p>
        </w:tc>
        <w:tc>
          <w:tcPr>
            <w:tcW w:w="4820" w:type="dxa"/>
            <w:shd w:val="clear" w:color="auto" w:fill="auto"/>
          </w:tcPr>
          <w:p w:rsidR="00C8346F" w:rsidRPr="00A6172E" w:rsidRDefault="00C8346F" w:rsidP="00C8346F">
            <w:r w:rsidRPr="00A6172E">
              <w:t>That the Commissioner report back in due course on the governance review of the Force which is nearing completion</w:t>
            </w:r>
          </w:p>
        </w:tc>
        <w:tc>
          <w:tcPr>
            <w:tcW w:w="1275" w:type="dxa"/>
            <w:shd w:val="clear" w:color="auto" w:fill="auto"/>
          </w:tcPr>
          <w:p w:rsidR="00C8346F" w:rsidRPr="00A6172E" w:rsidRDefault="00C8346F">
            <w:r w:rsidRPr="00A6172E">
              <w:t>PCC</w:t>
            </w:r>
          </w:p>
        </w:tc>
        <w:tc>
          <w:tcPr>
            <w:tcW w:w="1276" w:type="dxa"/>
            <w:shd w:val="clear" w:color="auto" w:fill="auto"/>
          </w:tcPr>
          <w:p w:rsidR="00C8346F" w:rsidRPr="00A6172E" w:rsidRDefault="00C8346F" w:rsidP="00C8346F">
            <w:r w:rsidRPr="00A6172E">
              <w:t>OPCC to confirm timeframe</w:t>
            </w:r>
          </w:p>
        </w:tc>
        <w:tc>
          <w:tcPr>
            <w:tcW w:w="5245" w:type="dxa"/>
            <w:shd w:val="clear" w:color="auto" w:fill="auto"/>
          </w:tcPr>
          <w:p w:rsidR="00C8346F" w:rsidRPr="00A6172E" w:rsidRDefault="00C8346F" w:rsidP="00CB2FD7"/>
        </w:tc>
      </w:tr>
      <w:tr w:rsidR="00C8346F" w:rsidRPr="00EC03D6" w:rsidTr="00B50CCC">
        <w:tc>
          <w:tcPr>
            <w:tcW w:w="1135" w:type="dxa"/>
            <w:shd w:val="clear" w:color="auto" w:fill="auto"/>
          </w:tcPr>
          <w:p w:rsidR="00C8346F" w:rsidRPr="00A6172E" w:rsidRDefault="00C8346F" w:rsidP="00C8346F"/>
        </w:tc>
        <w:tc>
          <w:tcPr>
            <w:tcW w:w="992" w:type="dxa"/>
            <w:shd w:val="clear" w:color="auto" w:fill="auto"/>
          </w:tcPr>
          <w:p w:rsidR="00C8346F" w:rsidRPr="00A6172E" w:rsidRDefault="00C8346F"/>
        </w:tc>
        <w:tc>
          <w:tcPr>
            <w:tcW w:w="4820" w:type="dxa"/>
            <w:shd w:val="clear" w:color="auto" w:fill="auto"/>
          </w:tcPr>
          <w:p w:rsidR="00C8346F" w:rsidRPr="00A6172E" w:rsidRDefault="00C8346F" w:rsidP="00C8346F"/>
        </w:tc>
        <w:tc>
          <w:tcPr>
            <w:tcW w:w="1275" w:type="dxa"/>
            <w:shd w:val="clear" w:color="auto" w:fill="auto"/>
          </w:tcPr>
          <w:p w:rsidR="00C8346F" w:rsidRPr="00A6172E" w:rsidRDefault="00C8346F"/>
        </w:tc>
        <w:tc>
          <w:tcPr>
            <w:tcW w:w="1276" w:type="dxa"/>
            <w:shd w:val="clear" w:color="auto" w:fill="auto"/>
          </w:tcPr>
          <w:p w:rsidR="00C8346F" w:rsidRPr="00A6172E" w:rsidRDefault="00C8346F" w:rsidP="00C8346F"/>
        </w:tc>
        <w:tc>
          <w:tcPr>
            <w:tcW w:w="5245" w:type="dxa"/>
            <w:shd w:val="clear" w:color="auto" w:fill="auto"/>
          </w:tcPr>
          <w:p w:rsidR="00C8346F" w:rsidRPr="00A6172E" w:rsidRDefault="00C8346F" w:rsidP="00CB2FD7"/>
        </w:tc>
      </w:tr>
      <w:tr w:rsidR="00C8346F" w:rsidRPr="00EC03D6" w:rsidTr="00B50CCC">
        <w:tc>
          <w:tcPr>
            <w:tcW w:w="1135" w:type="dxa"/>
            <w:shd w:val="clear" w:color="auto" w:fill="auto"/>
          </w:tcPr>
          <w:p w:rsidR="00C8346F" w:rsidRPr="00A6172E" w:rsidRDefault="00C8346F" w:rsidP="00C8346F">
            <w:r w:rsidRPr="00A6172E">
              <w:lastRenderedPageBreak/>
              <w:t>7/11/14</w:t>
            </w:r>
          </w:p>
        </w:tc>
        <w:tc>
          <w:tcPr>
            <w:tcW w:w="992" w:type="dxa"/>
            <w:shd w:val="clear" w:color="auto" w:fill="auto"/>
          </w:tcPr>
          <w:p w:rsidR="00C8346F" w:rsidRPr="00A6172E" w:rsidRDefault="00C8346F">
            <w:r w:rsidRPr="00A6172E">
              <w:t>8.5.1</w:t>
            </w:r>
          </w:p>
        </w:tc>
        <w:tc>
          <w:tcPr>
            <w:tcW w:w="4820" w:type="dxa"/>
            <w:shd w:val="clear" w:color="auto" w:fill="auto"/>
          </w:tcPr>
          <w:p w:rsidR="00C8346F" w:rsidRPr="00A6172E" w:rsidRDefault="00C8346F" w:rsidP="00C8346F">
            <w:r w:rsidRPr="00A6172E">
              <w:t>That the Commissioner invites Panel members to future Safer Communities funding aware events</w:t>
            </w:r>
          </w:p>
        </w:tc>
        <w:tc>
          <w:tcPr>
            <w:tcW w:w="1275" w:type="dxa"/>
            <w:shd w:val="clear" w:color="auto" w:fill="auto"/>
          </w:tcPr>
          <w:p w:rsidR="00C8346F" w:rsidRPr="00A6172E" w:rsidRDefault="00C8346F">
            <w:r w:rsidRPr="00A6172E">
              <w:t>PCC</w:t>
            </w:r>
          </w:p>
        </w:tc>
        <w:tc>
          <w:tcPr>
            <w:tcW w:w="1276" w:type="dxa"/>
            <w:shd w:val="clear" w:color="auto" w:fill="auto"/>
          </w:tcPr>
          <w:p w:rsidR="00C8346F" w:rsidRPr="00A6172E" w:rsidRDefault="00C8346F" w:rsidP="00F00AB0">
            <w:r w:rsidRPr="00A6172E">
              <w:t>Jan</w:t>
            </w:r>
            <w:r w:rsidR="00F00AB0" w:rsidRPr="00A6172E">
              <w:t xml:space="preserve"> 15</w:t>
            </w:r>
          </w:p>
        </w:tc>
        <w:tc>
          <w:tcPr>
            <w:tcW w:w="5245" w:type="dxa"/>
            <w:shd w:val="clear" w:color="auto" w:fill="auto"/>
          </w:tcPr>
          <w:p w:rsidR="00C8346F" w:rsidRPr="00A6172E" w:rsidRDefault="00AC5B77" w:rsidP="00CB2FD7">
            <w:r w:rsidRPr="00A6172E">
              <w:t>Awards were cancelled due to snow.  Ask that PCP Members are notified when alternative date is found.</w:t>
            </w:r>
          </w:p>
        </w:tc>
      </w:tr>
      <w:tr w:rsidR="00C8346F" w:rsidRPr="00EC03D6" w:rsidTr="00B50CCC">
        <w:tc>
          <w:tcPr>
            <w:tcW w:w="1135" w:type="dxa"/>
            <w:shd w:val="clear" w:color="auto" w:fill="auto"/>
          </w:tcPr>
          <w:p w:rsidR="00C8346F" w:rsidRPr="00A6172E" w:rsidRDefault="00C8346F" w:rsidP="00C8346F"/>
        </w:tc>
        <w:tc>
          <w:tcPr>
            <w:tcW w:w="992" w:type="dxa"/>
            <w:shd w:val="clear" w:color="auto" w:fill="auto"/>
          </w:tcPr>
          <w:p w:rsidR="00C8346F" w:rsidRPr="00A6172E" w:rsidRDefault="00C8346F"/>
        </w:tc>
        <w:tc>
          <w:tcPr>
            <w:tcW w:w="4820" w:type="dxa"/>
            <w:shd w:val="clear" w:color="auto" w:fill="auto"/>
          </w:tcPr>
          <w:p w:rsidR="00C8346F" w:rsidRPr="00A6172E" w:rsidRDefault="00C8346F" w:rsidP="00C8346F"/>
        </w:tc>
        <w:tc>
          <w:tcPr>
            <w:tcW w:w="1275" w:type="dxa"/>
            <w:shd w:val="clear" w:color="auto" w:fill="auto"/>
          </w:tcPr>
          <w:p w:rsidR="00C8346F" w:rsidRPr="00A6172E" w:rsidRDefault="00C8346F"/>
        </w:tc>
        <w:tc>
          <w:tcPr>
            <w:tcW w:w="1276" w:type="dxa"/>
            <w:shd w:val="clear" w:color="auto" w:fill="auto"/>
          </w:tcPr>
          <w:p w:rsidR="00C8346F" w:rsidRPr="00A6172E" w:rsidRDefault="00C8346F" w:rsidP="00C8346F"/>
        </w:tc>
        <w:tc>
          <w:tcPr>
            <w:tcW w:w="5245" w:type="dxa"/>
            <w:shd w:val="clear" w:color="auto" w:fill="auto"/>
          </w:tcPr>
          <w:p w:rsidR="00C8346F" w:rsidRPr="00A6172E" w:rsidRDefault="00C8346F" w:rsidP="00CB2FD7"/>
        </w:tc>
      </w:tr>
      <w:tr w:rsidR="003E7EAE" w:rsidRPr="00EC03D6" w:rsidTr="00B50CCC">
        <w:tc>
          <w:tcPr>
            <w:tcW w:w="1135" w:type="dxa"/>
            <w:shd w:val="clear" w:color="auto" w:fill="auto"/>
          </w:tcPr>
          <w:p w:rsidR="003E7EAE" w:rsidRPr="00A6172E" w:rsidRDefault="003E7EAE" w:rsidP="00C8346F">
            <w:r w:rsidRPr="00A6172E">
              <w:t>7/11/14</w:t>
            </w:r>
          </w:p>
        </w:tc>
        <w:tc>
          <w:tcPr>
            <w:tcW w:w="992" w:type="dxa"/>
            <w:shd w:val="clear" w:color="auto" w:fill="auto"/>
          </w:tcPr>
          <w:p w:rsidR="003E7EAE" w:rsidRPr="00A6172E" w:rsidRDefault="003E7EAE">
            <w:r w:rsidRPr="00A6172E">
              <w:t>12.5.1</w:t>
            </w:r>
          </w:p>
        </w:tc>
        <w:tc>
          <w:tcPr>
            <w:tcW w:w="4820" w:type="dxa"/>
            <w:shd w:val="clear" w:color="auto" w:fill="auto"/>
          </w:tcPr>
          <w:p w:rsidR="003E7EAE" w:rsidRPr="00A6172E" w:rsidRDefault="003E7EAE" w:rsidP="003E7EAE">
            <w:r w:rsidRPr="00A6172E">
              <w:t xml:space="preserve">That the Joint Independent Audit Committee </w:t>
            </w:r>
            <w:r w:rsidR="00DF12B9" w:rsidRPr="00A6172E">
              <w:t>considers</w:t>
            </w:r>
            <w:r w:rsidRPr="00A6172E">
              <w:t xml:space="preserve"> crime data integrity and the strategic workforce plan as part of their work programme.</w:t>
            </w:r>
          </w:p>
        </w:tc>
        <w:tc>
          <w:tcPr>
            <w:tcW w:w="1275" w:type="dxa"/>
            <w:shd w:val="clear" w:color="auto" w:fill="auto"/>
          </w:tcPr>
          <w:p w:rsidR="003E7EAE" w:rsidRPr="00A6172E" w:rsidRDefault="003E7EAE">
            <w:r w:rsidRPr="00A6172E">
              <w:t xml:space="preserve">Joint </w:t>
            </w:r>
            <w:proofErr w:type="spellStart"/>
            <w:r w:rsidRPr="00A6172E">
              <w:t>Indep</w:t>
            </w:r>
            <w:proofErr w:type="spellEnd"/>
          </w:p>
          <w:p w:rsidR="003E7EAE" w:rsidRPr="00A6172E" w:rsidRDefault="003E7EAE">
            <w:r w:rsidRPr="00A6172E">
              <w:t>Audit Committee</w:t>
            </w:r>
          </w:p>
        </w:tc>
        <w:tc>
          <w:tcPr>
            <w:tcW w:w="1276" w:type="dxa"/>
            <w:shd w:val="clear" w:color="auto" w:fill="auto"/>
          </w:tcPr>
          <w:p w:rsidR="003E7EAE" w:rsidRPr="00A6172E" w:rsidRDefault="00AC5B77" w:rsidP="00C8346F">
            <w:r w:rsidRPr="00A6172E">
              <w:t>Ongoing</w:t>
            </w:r>
          </w:p>
        </w:tc>
        <w:tc>
          <w:tcPr>
            <w:tcW w:w="5245" w:type="dxa"/>
            <w:shd w:val="clear" w:color="auto" w:fill="auto"/>
          </w:tcPr>
          <w:p w:rsidR="003E7EAE" w:rsidRPr="00A6172E" w:rsidRDefault="003E7EAE" w:rsidP="003E7EAE"/>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DF12B9" w:rsidP="00C8346F">
            <w:r w:rsidRPr="00A6172E">
              <w:t>12/12/14</w:t>
            </w:r>
          </w:p>
        </w:tc>
        <w:tc>
          <w:tcPr>
            <w:tcW w:w="992" w:type="dxa"/>
            <w:shd w:val="clear" w:color="auto" w:fill="auto"/>
          </w:tcPr>
          <w:p w:rsidR="001030BB" w:rsidRPr="00A6172E" w:rsidRDefault="00DF12B9">
            <w:r w:rsidRPr="00A6172E">
              <w:t>6.3.4</w:t>
            </w:r>
          </w:p>
        </w:tc>
        <w:tc>
          <w:tcPr>
            <w:tcW w:w="4820" w:type="dxa"/>
            <w:shd w:val="clear" w:color="auto" w:fill="auto"/>
          </w:tcPr>
          <w:p w:rsidR="001030BB" w:rsidRPr="00A6172E" w:rsidRDefault="00DF12B9" w:rsidP="003E7EAE">
            <w:r w:rsidRPr="00A6172E">
              <w:t>That the Panel writes to the Home Office re: Panel’s powers in the complaints process</w:t>
            </w:r>
          </w:p>
        </w:tc>
        <w:tc>
          <w:tcPr>
            <w:tcW w:w="1275" w:type="dxa"/>
            <w:shd w:val="clear" w:color="auto" w:fill="auto"/>
          </w:tcPr>
          <w:p w:rsidR="001030BB" w:rsidRPr="00A6172E" w:rsidRDefault="00DF12B9">
            <w:r w:rsidRPr="00A6172E">
              <w:t>PCP Officers</w:t>
            </w:r>
          </w:p>
        </w:tc>
        <w:tc>
          <w:tcPr>
            <w:tcW w:w="1276" w:type="dxa"/>
            <w:shd w:val="clear" w:color="auto" w:fill="auto"/>
          </w:tcPr>
          <w:p w:rsidR="001030BB" w:rsidRPr="00A6172E" w:rsidRDefault="00F718DC" w:rsidP="00C8346F">
            <w:r w:rsidRPr="00A6172E">
              <w:t>ASAP</w:t>
            </w:r>
          </w:p>
        </w:tc>
        <w:tc>
          <w:tcPr>
            <w:tcW w:w="5245" w:type="dxa"/>
            <w:shd w:val="clear" w:color="auto" w:fill="auto"/>
          </w:tcPr>
          <w:p w:rsidR="00AC5B77" w:rsidRPr="00A6172E" w:rsidRDefault="00AC5B77" w:rsidP="003E7EAE">
            <w:r w:rsidRPr="00A6172E">
              <w:t>COMPLETED</w:t>
            </w:r>
          </w:p>
          <w:p w:rsidR="001030BB" w:rsidRPr="00A6172E" w:rsidRDefault="00AC5B77" w:rsidP="003E7EAE">
            <w:r w:rsidRPr="00A6172E">
              <w:t>Written to Mike Penning MP on 18 Dec 15.  Response received.</w:t>
            </w:r>
          </w:p>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DF12B9" w:rsidP="00C8346F">
            <w:r w:rsidRPr="00A6172E">
              <w:t>12/12/14</w:t>
            </w:r>
          </w:p>
        </w:tc>
        <w:tc>
          <w:tcPr>
            <w:tcW w:w="992" w:type="dxa"/>
            <w:shd w:val="clear" w:color="auto" w:fill="auto"/>
          </w:tcPr>
          <w:p w:rsidR="001030BB" w:rsidRPr="00A6172E" w:rsidRDefault="00E805F3">
            <w:r w:rsidRPr="00A6172E">
              <w:t>6.3.5</w:t>
            </w:r>
          </w:p>
        </w:tc>
        <w:tc>
          <w:tcPr>
            <w:tcW w:w="4820" w:type="dxa"/>
            <w:shd w:val="clear" w:color="auto" w:fill="auto"/>
          </w:tcPr>
          <w:p w:rsidR="001030BB" w:rsidRPr="00A6172E" w:rsidRDefault="00E805F3" w:rsidP="003E7EAE">
            <w:r w:rsidRPr="00A6172E">
              <w:t>That the Panel writes to the PCC re: the complaints process to ensure that complainants are regularly updated</w:t>
            </w:r>
          </w:p>
        </w:tc>
        <w:tc>
          <w:tcPr>
            <w:tcW w:w="1275" w:type="dxa"/>
            <w:shd w:val="clear" w:color="auto" w:fill="auto"/>
          </w:tcPr>
          <w:p w:rsidR="001030BB" w:rsidRPr="00A6172E" w:rsidRDefault="00E805F3">
            <w:r w:rsidRPr="00A6172E">
              <w:t>PCP Officers</w:t>
            </w:r>
          </w:p>
        </w:tc>
        <w:tc>
          <w:tcPr>
            <w:tcW w:w="1276" w:type="dxa"/>
            <w:shd w:val="clear" w:color="auto" w:fill="auto"/>
          </w:tcPr>
          <w:p w:rsidR="001030BB" w:rsidRPr="00A6172E" w:rsidRDefault="00E805F3" w:rsidP="00C8346F">
            <w:r w:rsidRPr="00A6172E">
              <w:t>19 Dec 14</w:t>
            </w:r>
          </w:p>
        </w:tc>
        <w:tc>
          <w:tcPr>
            <w:tcW w:w="5245" w:type="dxa"/>
            <w:shd w:val="clear" w:color="auto" w:fill="auto"/>
          </w:tcPr>
          <w:p w:rsidR="00AC5B77" w:rsidRPr="00A6172E" w:rsidRDefault="00AC5B77" w:rsidP="00AC5B77">
            <w:r w:rsidRPr="00A6172E">
              <w:t>COMPLETED</w:t>
            </w:r>
          </w:p>
          <w:p w:rsidR="001030BB" w:rsidRPr="00A6172E" w:rsidRDefault="00F718DC" w:rsidP="00AC5B77">
            <w:r w:rsidRPr="00A6172E">
              <w:t xml:space="preserve">Letter emailed on 18 Dec 14.  </w:t>
            </w:r>
          </w:p>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E805F3" w:rsidP="00C8346F">
            <w:r w:rsidRPr="00A6172E">
              <w:t>12/12/14</w:t>
            </w:r>
          </w:p>
        </w:tc>
        <w:tc>
          <w:tcPr>
            <w:tcW w:w="992" w:type="dxa"/>
            <w:shd w:val="clear" w:color="auto" w:fill="auto"/>
          </w:tcPr>
          <w:p w:rsidR="001030BB" w:rsidRPr="00A6172E" w:rsidRDefault="00E805F3">
            <w:r w:rsidRPr="00A6172E">
              <w:t>7.9.1</w:t>
            </w:r>
          </w:p>
        </w:tc>
        <w:tc>
          <w:tcPr>
            <w:tcW w:w="4820" w:type="dxa"/>
            <w:shd w:val="clear" w:color="auto" w:fill="auto"/>
          </w:tcPr>
          <w:p w:rsidR="001030BB" w:rsidRPr="00A6172E" w:rsidRDefault="00E805F3" w:rsidP="003E7EAE">
            <w:r w:rsidRPr="00A6172E">
              <w:t>That the Panel writes to the PCC re: the recommended appointment of Katherine Johnson to the Treasurer post</w:t>
            </w:r>
          </w:p>
        </w:tc>
        <w:tc>
          <w:tcPr>
            <w:tcW w:w="1275" w:type="dxa"/>
            <w:shd w:val="clear" w:color="auto" w:fill="auto"/>
          </w:tcPr>
          <w:p w:rsidR="001030BB" w:rsidRPr="00A6172E" w:rsidRDefault="00E805F3">
            <w:r w:rsidRPr="00A6172E">
              <w:t xml:space="preserve">PCP Officers </w:t>
            </w:r>
          </w:p>
        </w:tc>
        <w:tc>
          <w:tcPr>
            <w:tcW w:w="1276" w:type="dxa"/>
            <w:shd w:val="clear" w:color="auto" w:fill="auto"/>
          </w:tcPr>
          <w:p w:rsidR="001030BB" w:rsidRPr="00A6172E" w:rsidRDefault="00E805F3" w:rsidP="00C8346F">
            <w:r w:rsidRPr="00A6172E">
              <w:t>19 Dec 14</w:t>
            </w:r>
          </w:p>
        </w:tc>
        <w:tc>
          <w:tcPr>
            <w:tcW w:w="5245" w:type="dxa"/>
            <w:shd w:val="clear" w:color="auto" w:fill="auto"/>
          </w:tcPr>
          <w:p w:rsidR="00AC5B77" w:rsidRPr="00A6172E" w:rsidRDefault="00AC5B77" w:rsidP="003E7EAE">
            <w:r w:rsidRPr="00A6172E">
              <w:t>COMPLETED</w:t>
            </w:r>
          </w:p>
          <w:p w:rsidR="001030BB" w:rsidRPr="00A6172E" w:rsidRDefault="00F718DC" w:rsidP="003E7EAE">
            <w:r w:rsidRPr="00A6172E">
              <w:t>Letter emailed to t</w:t>
            </w:r>
            <w:r w:rsidR="00AC5B77" w:rsidRPr="00A6172E">
              <w:t>he PCC on 15 Dec 14.</w:t>
            </w:r>
          </w:p>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F718DC" w:rsidP="00C8346F">
            <w:r w:rsidRPr="00A6172E">
              <w:t>12/12/14</w:t>
            </w:r>
          </w:p>
        </w:tc>
        <w:tc>
          <w:tcPr>
            <w:tcW w:w="992" w:type="dxa"/>
            <w:shd w:val="clear" w:color="auto" w:fill="auto"/>
          </w:tcPr>
          <w:p w:rsidR="001030BB" w:rsidRPr="00A6172E" w:rsidRDefault="00F718DC">
            <w:r w:rsidRPr="00A6172E">
              <w:t>8.7.1</w:t>
            </w:r>
          </w:p>
        </w:tc>
        <w:tc>
          <w:tcPr>
            <w:tcW w:w="4820" w:type="dxa"/>
            <w:shd w:val="clear" w:color="auto" w:fill="auto"/>
          </w:tcPr>
          <w:p w:rsidR="001030BB" w:rsidRPr="00A6172E" w:rsidRDefault="00F718DC" w:rsidP="003E7EAE">
            <w:r w:rsidRPr="00A6172E">
              <w:t>That the PCC shares the Estates Strategy with the Panel</w:t>
            </w:r>
          </w:p>
        </w:tc>
        <w:tc>
          <w:tcPr>
            <w:tcW w:w="1275" w:type="dxa"/>
            <w:shd w:val="clear" w:color="auto" w:fill="auto"/>
          </w:tcPr>
          <w:p w:rsidR="001030BB" w:rsidRPr="00A6172E" w:rsidRDefault="00F718DC">
            <w:r w:rsidRPr="00A6172E">
              <w:t>PCC</w:t>
            </w:r>
          </w:p>
        </w:tc>
        <w:tc>
          <w:tcPr>
            <w:tcW w:w="1276" w:type="dxa"/>
            <w:shd w:val="clear" w:color="auto" w:fill="auto"/>
          </w:tcPr>
          <w:p w:rsidR="001030BB" w:rsidRPr="00A6172E" w:rsidRDefault="00AC5B77" w:rsidP="00C8346F">
            <w:r w:rsidRPr="00A6172E">
              <w:t>6 Mar 15</w:t>
            </w:r>
          </w:p>
        </w:tc>
        <w:tc>
          <w:tcPr>
            <w:tcW w:w="5245" w:type="dxa"/>
            <w:shd w:val="clear" w:color="auto" w:fill="auto"/>
          </w:tcPr>
          <w:p w:rsidR="001030BB" w:rsidRPr="00A6172E" w:rsidRDefault="00AC5B77" w:rsidP="005B6410">
            <w:r w:rsidRPr="00A6172E">
              <w:t>Part of the private briefing with Members</w:t>
            </w:r>
            <w:r w:rsidR="005B6410" w:rsidRPr="00A6172E">
              <w:t>.</w:t>
            </w:r>
          </w:p>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F718DC" w:rsidP="00C8346F">
            <w:r w:rsidRPr="00A6172E">
              <w:t>12/12/14</w:t>
            </w:r>
          </w:p>
        </w:tc>
        <w:tc>
          <w:tcPr>
            <w:tcW w:w="992" w:type="dxa"/>
            <w:shd w:val="clear" w:color="auto" w:fill="auto"/>
          </w:tcPr>
          <w:p w:rsidR="001030BB" w:rsidRPr="00A6172E" w:rsidRDefault="00F718DC">
            <w:r w:rsidRPr="00A6172E">
              <w:t>9.6.1</w:t>
            </w:r>
          </w:p>
        </w:tc>
        <w:tc>
          <w:tcPr>
            <w:tcW w:w="4820" w:type="dxa"/>
            <w:shd w:val="clear" w:color="auto" w:fill="auto"/>
          </w:tcPr>
          <w:p w:rsidR="001030BB" w:rsidRPr="00A6172E" w:rsidRDefault="00F718DC" w:rsidP="003E7EAE">
            <w:r w:rsidRPr="00A6172E">
              <w:t xml:space="preserve">That the PCC updates Panel on the progress of </w:t>
            </w:r>
            <w:r w:rsidR="00D30BBA" w:rsidRPr="00A6172E">
              <w:t xml:space="preserve">transformation fund </w:t>
            </w:r>
            <w:r w:rsidRPr="00A6172E">
              <w:t>business cases</w:t>
            </w:r>
          </w:p>
        </w:tc>
        <w:tc>
          <w:tcPr>
            <w:tcW w:w="1275" w:type="dxa"/>
            <w:shd w:val="clear" w:color="auto" w:fill="auto"/>
          </w:tcPr>
          <w:p w:rsidR="001030BB" w:rsidRPr="00A6172E" w:rsidRDefault="00F718DC">
            <w:r w:rsidRPr="00A6172E">
              <w:t>PCC</w:t>
            </w:r>
          </w:p>
        </w:tc>
        <w:tc>
          <w:tcPr>
            <w:tcW w:w="1276" w:type="dxa"/>
            <w:shd w:val="clear" w:color="auto" w:fill="auto"/>
          </w:tcPr>
          <w:p w:rsidR="001030BB" w:rsidRPr="00A6172E" w:rsidRDefault="00165177" w:rsidP="00C8346F">
            <w:r w:rsidRPr="00A6172E">
              <w:t>24</w:t>
            </w:r>
            <w:r w:rsidR="005B6410" w:rsidRPr="00A6172E">
              <w:t xml:space="preserve"> Apr 15?</w:t>
            </w:r>
          </w:p>
        </w:tc>
        <w:tc>
          <w:tcPr>
            <w:tcW w:w="5245" w:type="dxa"/>
            <w:shd w:val="clear" w:color="auto" w:fill="auto"/>
          </w:tcPr>
          <w:p w:rsidR="001030BB" w:rsidRPr="00A6172E" w:rsidRDefault="005B6410" w:rsidP="003E7EAE">
            <w:r w:rsidRPr="00A6172E">
              <w:t>Include 9.6.3</w:t>
            </w:r>
          </w:p>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F718DC" w:rsidP="00C8346F">
            <w:r w:rsidRPr="00A6172E">
              <w:t>12/12/14</w:t>
            </w:r>
          </w:p>
        </w:tc>
        <w:tc>
          <w:tcPr>
            <w:tcW w:w="992" w:type="dxa"/>
            <w:shd w:val="clear" w:color="auto" w:fill="auto"/>
          </w:tcPr>
          <w:p w:rsidR="001030BB" w:rsidRPr="00A6172E" w:rsidRDefault="00F718DC">
            <w:r w:rsidRPr="00A6172E">
              <w:t>9.6.2</w:t>
            </w:r>
          </w:p>
        </w:tc>
        <w:tc>
          <w:tcPr>
            <w:tcW w:w="4820" w:type="dxa"/>
            <w:shd w:val="clear" w:color="auto" w:fill="auto"/>
          </w:tcPr>
          <w:p w:rsidR="001030BB" w:rsidRPr="00A6172E" w:rsidRDefault="00F718DC" w:rsidP="003E7EAE">
            <w:r w:rsidRPr="00A6172E">
              <w:t xml:space="preserve">That the PCC ensures that </w:t>
            </w:r>
            <w:r w:rsidR="00D30BBA" w:rsidRPr="00A6172E">
              <w:t xml:space="preserve">transformation </w:t>
            </w:r>
            <w:r w:rsidRPr="00A6172E">
              <w:t>projects are reviewed and expected outcomes are monitored and measured</w:t>
            </w:r>
          </w:p>
        </w:tc>
        <w:tc>
          <w:tcPr>
            <w:tcW w:w="1275" w:type="dxa"/>
            <w:shd w:val="clear" w:color="auto" w:fill="auto"/>
          </w:tcPr>
          <w:p w:rsidR="001030BB" w:rsidRPr="00A6172E" w:rsidRDefault="00F718DC">
            <w:r w:rsidRPr="00A6172E">
              <w:t>PCC</w:t>
            </w:r>
          </w:p>
        </w:tc>
        <w:tc>
          <w:tcPr>
            <w:tcW w:w="1276" w:type="dxa"/>
            <w:shd w:val="clear" w:color="auto" w:fill="auto"/>
          </w:tcPr>
          <w:p w:rsidR="001030BB" w:rsidRPr="00A6172E" w:rsidRDefault="00F718DC" w:rsidP="00C8346F">
            <w:r w:rsidRPr="00A6172E">
              <w:t>Ongoing</w:t>
            </w:r>
          </w:p>
        </w:tc>
        <w:tc>
          <w:tcPr>
            <w:tcW w:w="5245" w:type="dxa"/>
            <w:shd w:val="clear" w:color="auto" w:fill="auto"/>
          </w:tcPr>
          <w:p w:rsidR="001030BB" w:rsidRPr="00A6172E" w:rsidRDefault="00D30BBA" w:rsidP="003E7EAE">
            <w:r w:rsidRPr="00A6172E">
              <w:t>Links to 5.5.6 - 6/2/15</w:t>
            </w:r>
          </w:p>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F718DC" w:rsidP="00C8346F">
            <w:r w:rsidRPr="00A6172E">
              <w:t>12/12/14</w:t>
            </w:r>
          </w:p>
        </w:tc>
        <w:tc>
          <w:tcPr>
            <w:tcW w:w="992" w:type="dxa"/>
            <w:shd w:val="clear" w:color="auto" w:fill="auto"/>
          </w:tcPr>
          <w:p w:rsidR="001030BB" w:rsidRPr="00A6172E" w:rsidRDefault="00F718DC">
            <w:r w:rsidRPr="00A6172E">
              <w:t>9.6.3</w:t>
            </w:r>
          </w:p>
        </w:tc>
        <w:tc>
          <w:tcPr>
            <w:tcW w:w="4820" w:type="dxa"/>
            <w:shd w:val="clear" w:color="auto" w:fill="auto"/>
          </w:tcPr>
          <w:p w:rsidR="001030BB" w:rsidRPr="00A6172E" w:rsidRDefault="00F718DC" w:rsidP="003E7EAE">
            <w:r w:rsidRPr="00A6172E">
              <w:t xml:space="preserve">Paul </w:t>
            </w:r>
            <w:proofErr w:type="spellStart"/>
            <w:r w:rsidRPr="00A6172E">
              <w:t>Whiteley</w:t>
            </w:r>
            <w:proofErr w:type="spellEnd"/>
            <w:r w:rsidRPr="00A6172E">
              <w:t xml:space="preserve"> to attend a future meeting of the Panel</w:t>
            </w:r>
            <w:r w:rsidR="00AC5B77" w:rsidRPr="00A6172E">
              <w:t xml:space="preserve"> re: transformation fund projects</w:t>
            </w:r>
          </w:p>
        </w:tc>
        <w:tc>
          <w:tcPr>
            <w:tcW w:w="1275" w:type="dxa"/>
            <w:shd w:val="clear" w:color="auto" w:fill="auto"/>
          </w:tcPr>
          <w:p w:rsidR="001030BB" w:rsidRPr="00A6172E" w:rsidRDefault="00F718DC">
            <w:r w:rsidRPr="00A6172E">
              <w:t>OPCC</w:t>
            </w:r>
          </w:p>
        </w:tc>
        <w:tc>
          <w:tcPr>
            <w:tcW w:w="1276" w:type="dxa"/>
            <w:shd w:val="clear" w:color="auto" w:fill="auto"/>
          </w:tcPr>
          <w:p w:rsidR="001030BB" w:rsidRPr="00A6172E" w:rsidRDefault="00165177" w:rsidP="00C8346F">
            <w:r w:rsidRPr="00A6172E">
              <w:t>24</w:t>
            </w:r>
            <w:r w:rsidR="005B6410" w:rsidRPr="00A6172E">
              <w:t xml:space="preserve"> Apr 15?</w:t>
            </w:r>
          </w:p>
        </w:tc>
        <w:tc>
          <w:tcPr>
            <w:tcW w:w="5245" w:type="dxa"/>
            <w:shd w:val="clear" w:color="auto" w:fill="auto"/>
          </w:tcPr>
          <w:p w:rsidR="001030BB" w:rsidRPr="00A6172E" w:rsidRDefault="005B6410" w:rsidP="003E7EAE">
            <w:r w:rsidRPr="00A6172E">
              <w:t>Include See 9.6.1</w:t>
            </w:r>
          </w:p>
        </w:tc>
      </w:tr>
      <w:tr w:rsidR="00BC0454" w:rsidRPr="00EC03D6" w:rsidTr="00B50CCC">
        <w:tc>
          <w:tcPr>
            <w:tcW w:w="1135" w:type="dxa"/>
            <w:shd w:val="clear" w:color="auto" w:fill="auto"/>
          </w:tcPr>
          <w:p w:rsidR="00BC0454" w:rsidRPr="00A6172E" w:rsidRDefault="00BC0454" w:rsidP="00C8346F"/>
        </w:tc>
        <w:tc>
          <w:tcPr>
            <w:tcW w:w="992" w:type="dxa"/>
            <w:shd w:val="clear" w:color="auto" w:fill="auto"/>
          </w:tcPr>
          <w:p w:rsidR="00BC0454" w:rsidRPr="00A6172E" w:rsidRDefault="00BC0454"/>
        </w:tc>
        <w:tc>
          <w:tcPr>
            <w:tcW w:w="4820" w:type="dxa"/>
            <w:shd w:val="clear" w:color="auto" w:fill="auto"/>
          </w:tcPr>
          <w:p w:rsidR="00BC0454" w:rsidRPr="00A6172E" w:rsidRDefault="00BC0454" w:rsidP="003E7EAE"/>
        </w:tc>
        <w:tc>
          <w:tcPr>
            <w:tcW w:w="1275" w:type="dxa"/>
            <w:shd w:val="clear" w:color="auto" w:fill="auto"/>
          </w:tcPr>
          <w:p w:rsidR="00BC0454" w:rsidRPr="00A6172E" w:rsidRDefault="00BC0454"/>
        </w:tc>
        <w:tc>
          <w:tcPr>
            <w:tcW w:w="1276" w:type="dxa"/>
            <w:shd w:val="clear" w:color="auto" w:fill="auto"/>
          </w:tcPr>
          <w:p w:rsidR="00BC0454" w:rsidRPr="00A6172E" w:rsidRDefault="00BC0454" w:rsidP="00C8346F"/>
        </w:tc>
        <w:tc>
          <w:tcPr>
            <w:tcW w:w="5245" w:type="dxa"/>
            <w:shd w:val="clear" w:color="auto" w:fill="auto"/>
          </w:tcPr>
          <w:p w:rsidR="00BC0454" w:rsidRPr="00A6172E" w:rsidRDefault="00BC0454" w:rsidP="003E7EAE"/>
        </w:tc>
      </w:tr>
      <w:tr w:rsidR="001030BB" w:rsidRPr="00EC03D6" w:rsidTr="00B50CCC">
        <w:tc>
          <w:tcPr>
            <w:tcW w:w="1135" w:type="dxa"/>
            <w:shd w:val="clear" w:color="auto" w:fill="auto"/>
          </w:tcPr>
          <w:p w:rsidR="001030BB" w:rsidRPr="00A6172E" w:rsidRDefault="00BC0454" w:rsidP="00C8346F">
            <w:r w:rsidRPr="00A6172E">
              <w:t>12/12/14</w:t>
            </w:r>
          </w:p>
        </w:tc>
        <w:tc>
          <w:tcPr>
            <w:tcW w:w="992" w:type="dxa"/>
            <w:shd w:val="clear" w:color="auto" w:fill="auto"/>
          </w:tcPr>
          <w:p w:rsidR="001030BB" w:rsidRPr="00A6172E" w:rsidRDefault="00BC0454">
            <w:r w:rsidRPr="00A6172E">
              <w:t>15.4.1</w:t>
            </w:r>
          </w:p>
        </w:tc>
        <w:tc>
          <w:tcPr>
            <w:tcW w:w="4820" w:type="dxa"/>
            <w:shd w:val="clear" w:color="auto" w:fill="auto"/>
          </w:tcPr>
          <w:p w:rsidR="001030BB" w:rsidRPr="00A6172E" w:rsidRDefault="00BC0454" w:rsidP="003E7EAE">
            <w:r w:rsidRPr="00A6172E">
              <w:t>That the PCC brings a report on 101 call handling to a future meeting and provides reasons to the Panel why WYP did not respond to the BBC’s FOI request</w:t>
            </w:r>
          </w:p>
        </w:tc>
        <w:tc>
          <w:tcPr>
            <w:tcW w:w="1275" w:type="dxa"/>
            <w:shd w:val="clear" w:color="auto" w:fill="auto"/>
          </w:tcPr>
          <w:p w:rsidR="001030BB" w:rsidRPr="00A6172E" w:rsidRDefault="00BC0454">
            <w:r w:rsidRPr="00A6172E">
              <w:t>PCC</w:t>
            </w:r>
          </w:p>
        </w:tc>
        <w:tc>
          <w:tcPr>
            <w:tcW w:w="1276" w:type="dxa"/>
            <w:shd w:val="clear" w:color="auto" w:fill="auto"/>
          </w:tcPr>
          <w:p w:rsidR="001030BB" w:rsidRPr="00A6172E" w:rsidRDefault="00165177" w:rsidP="00C8346F">
            <w:r w:rsidRPr="00A6172E">
              <w:t>24 April 15</w:t>
            </w:r>
          </w:p>
        </w:tc>
        <w:tc>
          <w:tcPr>
            <w:tcW w:w="5245" w:type="dxa"/>
            <w:shd w:val="clear" w:color="auto" w:fill="auto"/>
          </w:tcPr>
          <w:p w:rsidR="001030BB" w:rsidRPr="00A6172E" w:rsidRDefault="001030BB" w:rsidP="003E7EAE"/>
        </w:tc>
      </w:tr>
      <w:tr w:rsidR="008F395B" w:rsidRPr="00EC03D6" w:rsidTr="00B50CCC">
        <w:tc>
          <w:tcPr>
            <w:tcW w:w="1135" w:type="dxa"/>
            <w:shd w:val="clear" w:color="auto" w:fill="auto"/>
          </w:tcPr>
          <w:p w:rsidR="008F395B" w:rsidRPr="00A6172E" w:rsidRDefault="008F395B" w:rsidP="00C8346F"/>
        </w:tc>
        <w:tc>
          <w:tcPr>
            <w:tcW w:w="992" w:type="dxa"/>
            <w:shd w:val="clear" w:color="auto" w:fill="auto"/>
          </w:tcPr>
          <w:p w:rsidR="008F395B" w:rsidRPr="00A6172E" w:rsidRDefault="008F395B"/>
        </w:tc>
        <w:tc>
          <w:tcPr>
            <w:tcW w:w="4820" w:type="dxa"/>
            <w:shd w:val="clear" w:color="auto" w:fill="auto"/>
          </w:tcPr>
          <w:p w:rsidR="008F395B" w:rsidRPr="00A6172E" w:rsidRDefault="008F395B" w:rsidP="003E7EAE"/>
        </w:tc>
        <w:tc>
          <w:tcPr>
            <w:tcW w:w="1275" w:type="dxa"/>
            <w:shd w:val="clear" w:color="auto" w:fill="auto"/>
          </w:tcPr>
          <w:p w:rsidR="008F395B" w:rsidRPr="00A6172E" w:rsidRDefault="008F395B"/>
        </w:tc>
        <w:tc>
          <w:tcPr>
            <w:tcW w:w="1276" w:type="dxa"/>
            <w:shd w:val="clear" w:color="auto" w:fill="auto"/>
          </w:tcPr>
          <w:p w:rsidR="008F395B" w:rsidRPr="00A6172E" w:rsidRDefault="008F395B" w:rsidP="00C8346F"/>
        </w:tc>
        <w:tc>
          <w:tcPr>
            <w:tcW w:w="5245" w:type="dxa"/>
            <w:shd w:val="clear" w:color="auto" w:fill="auto"/>
          </w:tcPr>
          <w:p w:rsidR="008F395B" w:rsidRPr="00A6172E" w:rsidRDefault="008F395B" w:rsidP="003E7EAE"/>
        </w:tc>
      </w:tr>
      <w:tr w:rsidR="00B57D0D" w:rsidRPr="00EC03D6" w:rsidTr="00B50CCC">
        <w:tc>
          <w:tcPr>
            <w:tcW w:w="1135" w:type="dxa"/>
            <w:shd w:val="clear" w:color="auto" w:fill="auto"/>
          </w:tcPr>
          <w:p w:rsidR="00B57D0D" w:rsidRPr="00A6172E" w:rsidRDefault="00AE3F22" w:rsidP="00C8346F">
            <w:r w:rsidRPr="00A6172E">
              <w:t>6/2/15</w:t>
            </w:r>
          </w:p>
        </w:tc>
        <w:tc>
          <w:tcPr>
            <w:tcW w:w="992" w:type="dxa"/>
            <w:shd w:val="clear" w:color="auto" w:fill="auto"/>
          </w:tcPr>
          <w:p w:rsidR="00B57D0D" w:rsidRPr="00A6172E" w:rsidRDefault="00AE3F22">
            <w:r w:rsidRPr="00A6172E">
              <w:t>5.5.1</w:t>
            </w:r>
          </w:p>
        </w:tc>
        <w:tc>
          <w:tcPr>
            <w:tcW w:w="4820" w:type="dxa"/>
            <w:shd w:val="clear" w:color="auto" w:fill="auto"/>
          </w:tcPr>
          <w:p w:rsidR="00B57D0D" w:rsidRPr="00A6172E" w:rsidRDefault="00AE3F22" w:rsidP="003E7EAE">
            <w:r w:rsidRPr="00A6172E">
              <w:t>That the PCC ensures that the recruitment of a further 82 police officers reflects the diversity of West Yorkshire and that the Commissioner reports back to Panel on 6th March on the current position and what is being done to improve representation.</w:t>
            </w:r>
          </w:p>
        </w:tc>
        <w:tc>
          <w:tcPr>
            <w:tcW w:w="1275" w:type="dxa"/>
            <w:shd w:val="clear" w:color="auto" w:fill="auto"/>
          </w:tcPr>
          <w:p w:rsidR="00B57D0D" w:rsidRPr="00A6172E" w:rsidRDefault="00AE3F22">
            <w:r w:rsidRPr="00A6172E">
              <w:t>PCC</w:t>
            </w:r>
          </w:p>
        </w:tc>
        <w:tc>
          <w:tcPr>
            <w:tcW w:w="1276" w:type="dxa"/>
            <w:shd w:val="clear" w:color="auto" w:fill="auto"/>
          </w:tcPr>
          <w:p w:rsidR="00B57D0D" w:rsidRPr="00A6172E" w:rsidRDefault="00AE3F22" w:rsidP="00C8346F">
            <w:r w:rsidRPr="00A6172E">
              <w:t>6 March 15</w:t>
            </w:r>
          </w:p>
        </w:tc>
        <w:tc>
          <w:tcPr>
            <w:tcW w:w="5245" w:type="dxa"/>
            <w:shd w:val="clear" w:color="auto" w:fill="auto"/>
          </w:tcPr>
          <w:p w:rsidR="00B57D0D" w:rsidRPr="00A6172E" w:rsidRDefault="00D30BBA" w:rsidP="003E7EAE">
            <w:r w:rsidRPr="00A6172E">
              <w:t>Part of the private briefing with Members on 6/3/15</w:t>
            </w:r>
          </w:p>
        </w:tc>
      </w:tr>
      <w:tr w:rsidR="008F395B" w:rsidRPr="00EC03D6" w:rsidTr="00B50CCC">
        <w:tc>
          <w:tcPr>
            <w:tcW w:w="1135" w:type="dxa"/>
            <w:shd w:val="clear" w:color="auto" w:fill="auto"/>
          </w:tcPr>
          <w:p w:rsidR="008F395B" w:rsidRPr="00A6172E" w:rsidRDefault="008F395B" w:rsidP="00C8346F"/>
        </w:tc>
        <w:tc>
          <w:tcPr>
            <w:tcW w:w="992" w:type="dxa"/>
            <w:shd w:val="clear" w:color="auto" w:fill="auto"/>
          </w:tcPr>
          <w:p w:rsidR="008F395B" w:rsidRPr="00A6172E" w:rsidRDefault="008F395B"/>
        </w:tc>
        <w:tc>
          <w:tcPr>
            <w:tcW w:w="4820" w:type="dxa"/>
            <w:shd w:val="clear" w:color="auto" w:fill="auto"/>
          </w:tcPr>
          <w:p w:rsidR="008F395B" w:rsidRPr="00A6172E" w:rsidRDefault="008F395B" w:rsidP="003E7EAE"/>
        </w:tc>
        <w:tc>
          <w:tcPr>
            <w:tcW w:w="1275" w:type="dxa"/>
            <w:shd w:val="clear" w:color="auto" w:fill="auto"/>
          </w:tcPr>
          <w:p w:rsidR="008F395B" w:rsidRPr="00A6172E" w:rsidRDefault="008F395B"/>
        </w:tc>
        <w:tc>
          <w:tcPr>
            <w:tcW w:w="1276" w:type="dxa"/>
            <w:shd w:val="clear" w:color="auto" w:fill="auto"/>
          </w:tcPr>
          <w:p w:rsidR="008F395B" w:rsidRPr="00A6172E" w:rsidRDefault="008F395B" w:rsidP="00C8346F"/>
        </w:tc>
        <w:tc>
          <w:tcPr>
            <w:tcW w:w="5245" w:type="dxa"/>
            <w:shd w:val="clear" w:color="auto" w:fill="auto"/>
          </w:tcPr>
          <w:p w:rsidR="008F395B" w:rsidRPr="00A6172E" w:rsidRDefault="008F395B" w:rsidP="003E7EAE"/>
        </w:tc>
      </w:tr>
      <w:tr w:rsidR="00B57D0D" w:rsidRPr="00EC03D6" w:rsidTr="00B50CCC">
        <w:tc>
          <w:tcPr>
            <w:tcW w:w="1135" w:type="dxa"/>
            <w:shd w:val="clear" w:color="auto" w:fill="auto"/>
          </w:tcPr>
          <w:p w:rsidR="00B57D0D" w:rsidRPr="00A6172E" w:rsidRDefault="00AE3F22" w:rsidP="00C8346F">
            <w:r w:rsidRPr="00A6172E">
              <w:t>6/2/15</w:t>
            </w:r>
          </w:p>
        </w:tc>
        <w:tc>
          <w:tcPr>
            <w:tcW w:w="992" w:type="dxa"/>
            <w:shd w:val="clear" w:color="auto" w:fill="auto"/>
          </w:tcPr>
          <w:p w:rsidR="00B57D0D" w:rsidRPr="00A6172E" w:rsidRDefault="00AE3F22">
            <w:r w:rsidRPr="00A6172E">
              <w:t>5.5.2</w:t>
            </w:r>
          </w:p>
        </w:tc>
        <w:tc>
          <w:tcPr>
            <w:tcW w:w="4820" w:type="dxa"/>
            <w:shd w:val="clear" w:color="auto" w:fill="auto"/>
          </w:tcPr>
          <w:p w:rsidR="00B57D0D" w:rsidRPr="00A6172E" w:rsidRDefault="00AE3F22" w:rsidP="00AE3F22">
            <w:r w:rsidRPr="00A6172E">
              <w:t xml:space="preserve">That the PCC provide Panel with assurances that there is a clear longer-term workforce strategy in place on the shape and size of frontline policing in West Yorkshire, covering the staffing mix of the Force and physical presence in communities.  </w:t>
            </w:r>
          </w:p>
        </w:tc>
        <w:tc>
          <w:tcPr>
            <w:tcW w:w="1275" w:type="dxa"/>
            <w:shd w:val="clear" w:color="auto" w:fill="auto"/>
          </w:tcPr>
          <w:p w:rsidR="00B57D0D" w:rsidRPr="00A6172E" w:rsidRDefault="00AE3F22">
            <w:r w:rsidRPr="00A6172E">
              <w:t>PCC</w:t>
            </w:r>
          </w:p>
        </w:tc>
        <w:tc>
          <w:tcPr>
            <w:tcW w:w="1276" w:type="dxa"/>
            <w:shd w:val="clear" w:color="auto" w:fill="auto"/>
          </w:tcPr>
          <w:p w:rsidR="00B57D0D" w:rsidRPr="00A6172E" w:rsidRDefault="00AE3F22" w:rsidP="00C8346F">
            <w:r w:rsidRPr="00A6172E">
              <w:t>6 March 15</w:t>
            </w:r>
          </w:p>
        </w:tc>
        <w:tc>
          <w:tcPr>
            <w:tcW w:w="5245" w:type="dxa"/>
            <w:shd w:val="clear" w:color="auto" w:fill="auto"/>
          </w:tcPr>
          <w:p w:rsidR="00B57D0D" w:rsidRPr="00A6172E" w:rsidRDefault="00D30BBA" w:rsidP="00D30BBA">
            <w:r w:rsidRPr="00A6172E">
              <w:t>Part of the private briefing with Members on 6/3/15</w:t>
            </w:r>
          </w:p>
        </w:tc>
      </w:tr>
      <w:tr w:rsidR="008F395B" w:rsidRPr="00EC03D6" w:rsidTr="00B50CCC">
        <w:tc>
          <w:tcPr>
            <w:tcW w:w="1135" w:type="dxa"/>
            <w:shd w:val="clear" w:color="auto" w:fill="auto"/>
          </w:tcPr>
          <w:p w:rsidR="008F395B" w:rsidRPr="00A6172E" w:rsidRDefault="008F395B" w:rsidP="00C8346F"/>
        </w:tc>
        <w:tc>
          <w:tcPr>
            <w:tcW w:w="992" w:type="dxa"/>
            <w:shd w:val="clear" w:color="auto" w:fill="auto"/>
          </w:tcPr>
          <w:p w:rsidR="008F395B" w:rsidRPr="00A6172E" w:rsidRDefault="008F395B"/>
        </w:tc>
        <w:tc>
          <w:tcPr>
            <w:tcW w:w="4820" w:type="dxa"/>
            <w:shd w:val="clear" w:color="auto" w:fill="auto"/>
          </w:tcPr>
          <w:p w:rsidR="008F395B" w:rsidRPr="00A6172E" w:rsidRDefault="008F395B" w:rsidP="00AE3F22"/>
        </w:tc>
        <w:tc>
          <w:tcPr>
            <w:tcW w:w="1275" w:type="dxa"/>
            <w:shd w:val="clear" w:color="auto" w:fill="auto"/>
          </w:tcPr>
          <w:p w:rsidR="008F395B" w:rsidRPr="00A6172E" w:rsidRDefault="008F395B"/>
        </w:tc>
        <w:tc>
          <w:tcPr>
            <w:tcW w:w="1276" w:type="dxa"/>
            <w:shd w:val="clear" w:color="auto" w:fill="auto"/>
          </w:tcPr>
          <w:p w:rsidR="008F395B" w:rsidRPr="00A6172E" w:rsidRDefault="008F395B" w:rsidP="00C8346F"/>
        </w:tc>
        <w:tc>
          <w:tcPr>
            <w:tcW w:w="5245" w:type="dxa"/>
            <w:shd w:val="clear" w:color="auto" w:fill="auto"/>
          </w:tcPr>
          <w:p w:rsidR="008F395B" w:rsidRPr="00A6172E" w:rsidRDefault="008F395B" w:rsidP="003E7EAE"/>
        </w:tc>
      </w:tr>
      <w:tr w:rsidR="00B57D0D" w:rsidRPr="00EC03D6" w:rsidTr="00B50CCC">
        <w:tc>
          <w:tcPr>
            <w:tcW w:w="1135" w:type="dxa"/>
            <w:shd w:val="clear" w:color="auto" w:fill="auto"/>
          </w:tcPr>
          <w:p w:rsidR="00B57D0D" w:rsidRPr="00A6172E" w:rsidRDefault="00AE3F22" w:rsidP="00C8346F">
            <w:r w:rsidRPr="00A6172E">
              <w:t>6/2/15</w:t>
            </w:r>
          </w:p>
        </w:tc>
        <w:tc>
          <w:tcPr>
            <w:tcW w:w="992" w:type="dxa"/>
            <w:shd w:val="clear" w:color="auto" w:fill="auto"/>
          </w:tcPr>
          <w:p w:rsidR="00B57D0D" w:rsidRPr="00A6172E" w:rsidRDefault="00AE3F22">
            <w:r w:rsidRPr="00A6172E">
              <w:t>5.5.3</w:t>
            </w:r>
          </w:p>
        </w:tc>
        <w:tc>
          <w:tcPr>
            <w:tcW w:w="4820" w:type="dxa"/>
            <w:shd w:val="clear" w:color="auto" w:fill="auto"/>
          </w:tcPr>
          <w:p w:rsidR="00B57D0D" w:rsidRPr="00A6172E" w:rsidRDefault="00AE3F22" w:rsidP="003E7EAE">
            <w:r w:rsidRPr="00A6172E">
              <w:t>That the PCC provides Panel with assurances that there is a clear longer-term estates strategy in place which maximises the value and use of land and property assets, including identifying and delivering opportunities for co-location with partners.</w:t>
            </w:r>
          </w:p>
        </w:tc>
        <w:tc>
          <w:tcPr>
            <w:tcW w:w="1275" w:type="dxa"/>
            <w:shd w:val="clear" w:color="auto" w:fill="auto"/>
          </w:tcPr>
          <w:p w:rsidR="00B57D0D" w:rsidRPr="00A6172E" w:rsidRDefault="00AE3F22">
            <w:r w:rsidRPr="00A6172E">
              <w:t>PCC</w:t>
            </w:r>
          </w:p>
        </w:tc>
        <w:tc>
          <w:tcPr>
            <w:tcW w:w="1276" w:type="dxa"/>
            <w:shd w:val="clear" w:color="auto" w:fill="auto"/>
          </w:tcPr>
          <w:p w:rsidR="00B57D0D" w:rsidRPr="00A6172E" w:rsidRDefault="00AE3F22" w:rsidP="00C8346F">
            <w:r w:rsidRPr="00A6172E">
              <w:t>6 March 15</w:t>
            </w:r>
          </w:p>
        </w:tc>
        <w:tc>
          <w:tcPr>
            <w:tcW w:w="5245" w:type="dxa"/>
            <w:shd w:val="clear" w:color="auto" w:fill="auto"/>
          </w:tcPr>
          <w:p w:rsidR="00B57D0D" w:rsidRPr="00A6172E" w:rsidRDefault="00D30BBA" w:rsidP="003E7EAE">
            <w:r w:rsidRPr="00A6172E">
              <w:t>Part of the private briefing with Members on 6/3/15</w:t>
            </w:r>
          </w:p>
        </w:tc>
      </w:tr>
      <w:tr w:rsidR="008F395B" w:rsidRPr="00EC03D6" w:rsidTr="00B50CCC">
        <w:tc>
          <w:tcPr>
            <w:tcW w:w="1135" w:type="dxa"/>
            <w:shd w:val="clear" w:color="auto" w:fill="auto"/>
          </w:tcPr>
          <w:p w:rsidR="008F395B" w:rsidRPr="00A6172E" w:rsidRDefault="008F395B" w:rsidP="00C8346F"/>
        </w:tc>
        <w:tc>
          <w:tcPr>
            <w:tcW w:w="992" w:type="dxa"/>
            <w:shd w:val="clear" w:color="auto" w:fill="auto"/>
          </w:tcPr>
          <w:p w:rsidR="008F395B" w:rsidRPr="00A6172E" w:rsidRDefault="008F395B"/>
        </w:tc>
        <w:tc>
          <w:tcPr>
            <w:tcW w:w="4820" w:type="dxa"/>
            <w:shd w:val="clear" w:color="auto" w:fill="auto"/>
          </w:tcPr>
          <w:p w:rsidR="008F395B" w:rsidRPr="00A6172E" w:rsidRDefault="008F395B" w:rsidP="003E7EAE"/>
        </w:tc>
        <w:tc>
          <w:tcPr>
            <w:tcW w:w="1275" w:type="dxa"/>
            <w:shd w:val="clear" w:color="auto" w:fill="auto"/>
          </w:tcPr>
          <w:p w:rsidR="008F395B" w:rsidRPr="00A6172E" w:rsidRDefault="008F395B"/>
        </w:tc>
        <w:tc>
          <w:tcPr>
            <w:tcW w:w="1276" w:type="dxa"/>
            <w:shd w:val="clear" w:color="auto" w:fill="auto"/>
          </w:tcPr>
          <w:p w:rsidR="008F395B" w:rsidRPr="00A6172E" w:rsidRDefault="008F395B" w:rsidP="00C8346F"/>
        </w:tc>
        <w:tc>
          <w:tcPr>
            <w:tcW w:w="5245" w:type="dxa"/>
            <w:shd w:val="clear" w:color="auto" w:fill="auto"/>
          </w:tcPr>
          <w:p w:rsidR="008F395B" w:rsidRPr="00A6172E" w:rsidRDefault="008F395B" w:rsidP="003E7EAE"/>
        </w:tc>
      </w:tr>
      <w:tr w:rsidR="00B57D0D" w:rsidRPr="00EC03D6" w:rsidTr="00B50CCC">
        <w:tc>
          <w:tcPr>
            <w:tcW w:w="1135" w:type="dxa"/>
            <w:shd w:val="clear" w:color="auto" w:fill="auto"/>
          </w:tcPr>
          <w:p w:rsidR="00B57D0D" w:rsidRPr="00A6172E" w:rsidRDefault="00AE3F22" w:rsidP="00C8346F">
            <w:r w:rsidRPr="00A6172E">
              <w:t>6/2/15</w:t>
            </w:r>
          </w:p>
        </w:tc>
        <w:tc>
          <w:tcPr>
            <w:tcW w:w="992" w:type="dxa"/>
            <w:shd w:val="clear" w:color="auto" w:fill="auto"/>
          </w:tcPr>
          <w:p w:rsidR="00B57D0D" w:rsidRPr="00A6172E" w:rsidRDefault="00AE3F22">
            <w:r w:rsidRPr="00A6172E">
              <w:t>5.5.4</w:t>
            </w:r>
          </w:p>
        </w:tc>
        <w:tc>
          <w:tcPr>
            <w:tcW w:w="4820" w:type="dxa"/>
            <w:shd w:val="clear" w:color="auto" w:fill="auto"/>
          </w:tcPr>
          <w:p w:rsidR="00B57D0D" w:rsidRPr="00A6172E" w:rsidRDefault="00AE3F22" w:rsidP="00AE3F22">
            <w:r w:rsidRPr="00A6172E">
              <w:t>That the PCC improve the statistical validity of the ‘Community conversation’ consultation and consult the Panel regarding the development of the 2015 survey.  The survey should also include a question to establish if the respondent is responsible for the payment of council tax.</w:t>
            </w:r>
          </w:p>
        </w:tc>
        <w:tc>
          <w:tcPr>
            <w:tcW w:w="1275" w:type="dxa"/>
            <w:shd w:val="clear" w:color="auto" w:fill="auto"/>
          </w:tcPr>
          <w:p w:rsidR="00B57D0D" w:rsidRPr="00A6172E" w:rsidRDefault="00AE3F22">
            <w:r w:rsidRPr="00A6172E">
              <w:t>PCC</w:t>
            </w:r>
          </w:p>
        </w:tc>
        <w:tc>
          <w:tcPr>
            <w:tcW w:w="1276" w:type="dxa"/>
            <w:shd w:val="clear" w:color="auto" w:fill="auto"/>
          </w:tcPr>
          <w:p w:rsidR="00B57D0D" w:rsidRPr="00A6172E" w:rsidRDefault="00AE3F22" w:rsidP="00C8346F">
            <w:r w:rsidRPr="00A6172E">
              <w:t>TBC</w:t>
            </w:r>
          </w:p>
        </w:tc>
        <w:tc>
          <w:tcPr>
            <w:tcW w:w="5245" w:type="dxa"/>
            <w:shd w:val="clear" w:color="auto" w:fill="auto"/>
          </w:tcPr>
          <w:p w:rsidR="00B57D0D" w:rsidRPr="00A6172E" w:rsidRDefault="00B57D0D" w:rsidP="003E7EAE"/>
        </w:tc>
      </w:tr>
      <w:tr w:rsidR="008F395B" w:rsidRPr="00EC03D6" w:rsidTr="00B50CCC">
        <w:tc>
          <w:tcPr>
            <w:tcW w:w="1135" w:type="dxa"/>
            <w:shd w:val="clear" w:color="auto" w:fill="auto"/>
          </w:tcPr>
          <w:p w:rsidR="008F395B" w:rsidRPr="00A6172E" w:rsidRDefault="008F395B" w:rsidP="00C8346F"/>
        </w:tc>
        <w:tc>
          <w:tcPr>
            <w:tcW w:w="992" w:type="dxa"/>
            <w:shd w:val="clear" w:color="auto" w:fill="auto"/>
          </w:tcPr>
          <w:p w:rsidR="008F395B" w:rsidRPr="00A6172E" w:rsidRDefault="008F395B"/>
        </w:tc>
        <w:tc>
          <w:tcPr>
            <w:tcW w:w="4820" w:type="dxa"/>
            <w:shd w:val="clear" w:color="auto" w:fill="auto"/>
          </w:tcPr>
          <w:p w:rsidR="008F395B" w:rsidRPr="00A6172E" w:rsidRDefault="008F395B" w:rsidP="00AE3F22"/>
        </w:tc>
        <w:tc>
          <w:tcPr>
            <w:tcW w:w="1275" w:type="dxa"/>
            <w:shd w:val="clear" w:color="auto" w:fill="auto"/>
          </w:tcPr>
          <w:p w:rsidR="008F395B" w:rsidRPr="00A6172E" w:rsidRDefault="008F395B"/>
        </w:tc>
        <w:tc>
          <w:tcPr>
            <w:tcW w:w="1276" w:type="dxa"/>
            <w:shd w:val="clear" w:color="auto" w:fill="auto"/>
          </w:tcPr>
          <w:p w:rsidR="008F395B" w:rsidRPr="00A6172E" w:rsidRDefault="008F395B" w:rsidP="00C8346F"/>
        </w:tc>
        <w:tc>
          <w:tcPr>
            <w:tcW w:w="5245" w:type="dxa"/>
            <w:shd w:val="clear" w:color="auto" w:fill="auto"/>
          </w:tcPr>
          <w:p w:rsidR="008F395B" w:rsidRPr="00A6172E" w:rsidRDefault="008F395B" w:rsidP="003E7EAE"/>
        </w:tc>
      </w:tr>
      <w:tr w:rsidR="00AE3F22" w:rsidRPr="00EC03D6" w:rsidTr="00B50CCC">
        <w:tc>
          <w:tcPr>
            <w:tcW w:w="1135" w:type="dxa"/>
            <w:shd w:val="clear" w:color="auto" w:fill="auto"/>
          </w:tcPr>
          <w:p w:rsidR="00AE3F22" w:rsidRPr="00A6172E" w:rsidRDefault="00AE3F22" w:rsidP="00C8346F">
            <w:r w:rsidRPr="00A6172E">
              <w:t>6/2/15</w:t>
            </w:r>
          </w:p>
        </w:tc>
        <w:tc>
          <w:tcPr>
            <w:tcW w:w="992" w:type="dxa"/>
            <w:shd w:val="clear" w:color="auto" w:fill="auto"/>
          </w:tcPr>
          <w:p w:rsidR="00AE3F22" w:rsidRPr="00A6172E" w:rsidRDefault="00AE3F22">
            <w:r w:rsidRPr="00A6172E">
              <w:t>5.5.5</w:t>
            </w:r>
          </w:p>
        </w:tc>
        <w:tc>
          <w:tcPr>
            <w:tcW w:w="4820" w:type="dxa"/>
            <w:shd w:val="clear" w:color="auto" w:fill="auto"/>
          </w:tcPr>
          <w:p w:rsidR="00AE3F22" w:rsidRPr="00A6172E" w:rsidRDefault="00AE3F22" w:rsidP="00AE3F22">
            <w:r w:rsidRPr="00A6172E">
              <w:t>Increase ambition to maximise Home Office innovation funding to a level over and above the top-sliced contribution that West Yorkshire makes reflecting the significant talent within West Yorkshire Police</w:t>
            </w:r>
          </w:p>
        </w:tc>
        <w:tc>
          <w:tcPr>
            <w:tcW w:w="1275" w:type="dxa"/>
            <w:shd w:val="clear" w:color="auto" w:fill="auto"/>
          </w:tcPr>
          <w:p w:rsidR="00AE3F22" w:rsidRPr="00A6172E" w:rsidRDefault="00AE3F22">
            <w:r w:rsidRPr="00A6172E">
              <w:t>PCC</w:t>
            </w:r>
          </w:p>
        </w:tc>
        <w:tc>
          <w:tcPr>
            <w:tcW w:w="1276" w:type="dxa"/>
            <w:shd w:val="clear" w:color="auto" w:fill="auto"/>
          </w:tcPr>
          <w:p w:rsidR="00AE3F22" w:rsidRPr="00A6172E" w:rsidRDefault="00D30BBA" w:rsidP="00D30BBA">
            <w:r w:rsidRPr="00A6172E">
              <w:t>TBC</w:t>
            </w:r>
          </w:p>
        </w:tc>
        <w:tc>
          <w:tcPr>
            <w:tcW w:w="5245" w:type="dxa"/>
            <w:shd w:val="clear" w:color="auto" w:fill="auto"/>
          </w:tcPr>
          <w:p w:rsidR="00AE3F22" w:rsidRPr="00A6172E" w:rsidRDefault="00AE3F22" w:rsidP="003E7EAE"/>
        </w:tc>
      </w:tr>
      <w:tr w:rsidR="008F395B" w:rsidRPr="00EC03D6" w:rsidTr="00B50CCC">
        <w:tc>
          <w:tcPr>
            <w:tcW w:w="1135" w:type="dxa"/>
            <w:shd w:val="clear" w:color="auto" w:fill="auto"/>
          </w:tcPr>
          <w:p w:rsidR="008F395B" w:rsidRPr="00A6172E" w:rsidRDefault="008F395B" w:rsidP="00C8346F"/>
        </w:tc>
        <w:tc>
          <w:tcPr>
            <w:tcW w:w="992" w:type="dxa"/>
            <w:shd w:val="clear" w:color="auto" w:fill="auto"/>
          </w:tcPr>
          <w:p w:rsidR="008F395B" w:rsidRPr="00A6172E" w:rsidRDefault="008F395B"/>
        </w:tc>
        <w:tc>
          <w:tcPr>
            <w:tcW w:w="4820" w:type="dxa"/>
            <w:shd w:val="clear" w:color="auto" w:fill="auto"/>
          </w:tcPr>
          <w:p w:rsidR="008F395B" w:rsidRPr="00A6172E" w:rsidRDefault="008F395B" w:rsidP="00AE3F22"/>
        </w:tc>
        <w:tc>
          <w:tcPr>
            <w:tcW w:w="1275" w:type="dxa"/>
            <w:shd w:val="clear" w:color="auto" w:fill="auto"/>
          </w:tcPr>
          <w:p w:rsidR="008F395B" w:rsidRPr="00A6172E" w:rsidRDefault="008F395B"/>
        </w:tc>
        <w:tc>
          <w:tcPr>
            <w:tcW w:w="1276" w:type="dxa"/>
            <w:shd w:val="clear" w:color="auto" w:fill="auto"/>
          </w:tcPr>
          <w:p w:rsidR="008F395B" w:rsidRPr="00A6172E" w:rsidRDefault="008F395B" w:rsidP="00C8346F"/>
        </w:tc>
        <w:tc>
          <w:tcPr>
            <w:tcW w:w="5245" w:type="dxa"/>
            <w:shd w:val="clear" w:color="auto" w:fill="auto"/>
          </w:tcPr>
          <w:p w:rsidR="008F395B" w:rsidRPr="00A6172E" w:rsidRDefault="008F395B" w:rsidP="003E7EAE"/>
        </w:tc>
      </w:tr>
      <w:tr w:rsidR="00AE3F22" w:rsidRPr="00EC03D6" w:rsidTr="00B50CCC">
        <w:tc>
          <w:tcPr>
            <w:tcW w:w="1135" w:type="dxa"/>
            <w:shd w:val="clear" w:color="auto" w:fill="auto"/>
          </w:tcPr>
          <w:p w:rsidR="00AE3F22" w:rsidRPr="00A6172E" w:rsidRDefault="00AE3F22" w:rsidP="00C8346F">
            <w:r w:rsidRPr="00A6172E">
              <w:t>6/2/15</w:t>
            </w:r>
          </w:p>
        </w:tc>
        <w:tc>
          <w:tcPr>
            <w:tcW w:w="992" w:type="dxa"/>
            <w:shd w:val="clear" w:color="auto" w:fill="auto"/>
          </w:tcPr>
          <w:p w:rsidR="00AE3F22" w:rsidRPr="00A6172E" w:rsidRDefault="00AE3F22">
            <w:r w:rsidRPr="00A6172E">
              <w:t>5.5.6</w:t>
            </w:r>
          </w:p>
        </w:tc>
        <w:tc>
          <w:tcPr>
            <w:tcW w:w="4820" w:type="dxa"/>
            <w:shd w:val="clear" w:color="auto" w:fill="auto"/>
          </w:tcPr>
          <w:p w:rsidR="00AE3F22" w:rsidRPr="00A6172E" w:rsidRDefault="00AE3F22" w:rsidP="00AE3F22">
            <w:r w:rsidRPr="00A6172E">
              <w:t xml:space="preserve">Ensure that a robust evaluation of the first year of transformation funding is undertaken which </w:t>
            </w:r>
            <w:r w:rsidRPr="00A6172E">
              <w:lastRenderedPageBreak/>
              <w:t>includes the development of an exit strategy for any projects that are not delivering adequate return on investment and to further ensure that there is a much more thorough process to guarantee that business cases for the second year of the fund are robust and linked to improved outcomes.</w:t>
            </w:r>
          </w:p>
        </w:tc>
        <w:tc>
          <w:tcPr>
            <w:tcW w:w="1275" w:type="dxa"/>
            <w:shd w:val="clear" w:color="auto" w:fill="auto"/>
          </w:tcPr>
          <w:p w:rsidR="00AE3F22" w:rsidRPr="00A6172E" w:rsidRDefault="00AE3F22">
            <w:r w:rsidRPr="00A6172E">
              <w:lastRenderedPageBreak/>
              <w:t>PCC</w:t>
            </w:r>
          </w:p>
        </w:tc>
        <w:tc>
          <w:tcPr>
            <w:tcW w:w="1276" w:type="dxa"/>
            <w:shd w:val="clear" w:color="auto" w:fill="auto"/>
          </w:tcPr>
          <w:p w:rsidR="00AE3F22" w:rsidRPr="00A6172E" w:rsidRDefault="00D30BBA" w:rsidP="00C8346F">
            <w:r w:rsidRPr="00A6172E">
              <w:t>TBC</w:t>
            </w:r>
          </w:p>
        </w:tc>
        <w:tc>
          <w:tcPr>
            <w:tcW w:w="5245" w:type="dxa"/>
            <w:shd w:val="clear" w:color="auto" w:fill="auto"/>
          </w:tcPr>
          <w:p w:rsidR="00AE3F22" w:rsidRPr="00A6172E" w:rsidRDefault="00AE3F22" w:rsidP="003E7EAE"/>
        </w:tc>
      </w:tr>
      <w:tr w:rsidR="00AE3F22" w:rsidRPr="00EC03D6" w:rsidTr="00B50CCC">
        <w:tc>
          <w:tcPr>
            <w:tcW w:w="1135" w:type="dxa"/>
            <w:shd w:val="clear" w:color="auto" w:fill="auto"/>
          </w:tcPr>
          <w:p w:rsidR="00AE3F22" w:rsidRPr="00A6172E" w:rsidRDefault="00AE3F22" w:rsidP="00C8346F"/>
        </w:tc>
        <w:tc>
          <w:tcPr>
            <w:tcW w:w="992" w:type="dxa"/>
            <w:shd w:val="clear" w:color="auto" w:fill="auto"/>
          </w:tcPr>
          <w:p w:rsidR="00AE3F22" w:rsidRPr="00A6172E" w:rsidRDefault="00AE3F22"/>
        </w:tc>
        <w:tc>
          <w:tcPr>
            <w:tcW w:w="4820" w:type="dxa"/>
            <w:shd w:val="clear" w:color="auto" w:fill="auto"/>
          </w:tcPr>
          <w:p w:rsidR="00AE3F22" w:rsidRPr="00A6172E" w:rsidRDefault="00AE3F22" w:rsidP="00AE3F22"/>
        </w:tc>
        <w:tc>
          <w:tcPr>
            <w:tcW w:w="1275" w:type="dxa"/>
            <w:shd w:val="clear" w:color="auto" w:fill="auto"/>
          </w:tcPr>
          <w:p w:rsidR="00AE3F22" w:rsidRPr="00A6172E" w:rsidRDefault="00AE3F22"/>
        </w:tc>
        <w:tc>
          <w:tcPr>
            <w:tcW w:w="1276" w:type="dxa"/>
            <w:shd w:val="clear" w:color="auto" w:fill="auto"/>
          </w:tcPr>
          <w:p w:rsidR="00AE3F22" w:rsidRPr="00A6172E" w:rsidRDefault="00AE3F22" w:rsidP="00C8346F"/>
        </w:tc>
        <w:tc>
          <w:tcPr>
            <w:tcW w:w="5245" w:type="dxa"/>
            <w:shd w:val="clear" w:color="auto" w:fill="auto"/>
          </w:tcPr>
          <w:p w:rsidR="00AE3F22" w:rsidRPr="00A6172E" w:rsidRDefault="00AE3F22" w:rsidP="003E7EAE"/>
        </w:tc>
      </w:tr>
    </w:tbl>
    <w:p w:rsidR="0020179E" w:rsidRPr="004D7992" w:rsidRDefault="0020179E" w:rsidP="00355400"/>
    <w:p w:rsidR="0020179E" w:rsidRDefault="0020179E" w:rsidP="00355400"/>
    <w:p w:rsidR="00AE3F22" w:rsidRDefault="00AE3F22" w:rsidP="00355400"/>
    <w:p w:rsidR="0020179E" w:rsidRDefault="00827F02" w:rsidP="00355400">
      <w:r>
        <w:t>Updated by Pane</w:t>
      </w:r>
      <w:r w:rsidR="004D7992">
        <w:t xml:space="preserve">l </w:t>
      </w:r>
      <w:r w:rsidR="004D7992">
        <w:tab/>
      </w:r>
      <w:r w:rsidR="00D30BBA">
        <w:t>24</w:t>
      </w:r>
      <w:r w:rsidR="005B6410">
        <w:t>/02/15</w:t>
      </w:r>
      <w:r w:rsidR="00D30BBA">
        <w:t xml:space="preserve"> SJW</w:t>
      </w:r>
    </w:p>
    <w:p w:rsidR="0020179E" w:rsidRDefault="0020179E" w:rsidP="00355400"/>
    <w:p w:rsidR="0020179E" w:rsidRDefault="004D7992" w:rsidP="00355400">
      <w:r>
        <w:t>Updated by OPCC</w:t>
      </w:r>
      <w:r>
        <w:tab/>
      </w:r>
      <w:r w:rsidR="00A6172E">
        <w:t>23/02/15 TLN</w:t>
      </w:r>
    </w:p>
    <w:sectPr w:rsidR="0020179E" w:rsidSect="005B6410">
      <w:footerReference w:type="default" r:id="rId9"/>
      <w:pgSz w:w="16838" w:h="11906" w:orient="landscape"/>
      <w:pgMar w:top="1134" w:right="1440" w:bottom="851" w:left="1440"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92" w:rsidRDefault="004D7992" w:rsidP="007426BA">
      <w:r>
        <w:separator/>
      </w:r>
    </w:p>
  </w:endnote>
  <w:endnote w:type="continuationSeparator" w:id="0">
    <w:p w:rsidR="004D7992" w:rsidRDefault="004D7992" w:rsidP="0074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949050"/>
      <w:docPartObj>
        <w:docPartGallery w:val="Page Numbers (Bottom of Page)"/>
        <w:docPartUnique/>
      </w:docPartObj>
    </w:sdtPr>
    <w:sdtEndPr>
      <w:rPr>
        <w:noProof/>
      </w:rPr>
    </w:sdtEndPr>
    <w:sdtContent>
      <w:p w:rsidR="004D7992" w:rsidRDefault="004D7992">
        <w:pPr>
          <w:pStyle w:val="Footer"/>
          <w:jc w:val="center"/>
        </w:pPr>
        <w:r>
          <w:fldChar w:fldCharType="begin"/>
        </w:r>
        <w:r>
          <w:instrText xml:space="preserve"> PAGE   \* MERGEFORMAT </w:instrText>
        </w:r>
        <w:r>
          <w:fldChar w:fldCharType="separate"/>
        </w:r>
        <w:r w:rsidR="00EC57A5">
          <w:rPr>
            <w:noProof/>
          </w:rPr>
          <w:t>1</w:t>
        </w:r>
        <w:r>
          <w:rPr>
            <w:noProof/>
          </w:rPr>
          <w:fldChar w:fldCharType="end"/>
        </w:r>
      </w:p>
    </w:sdtContent>
  </w:sdt>
  <w:p w:rsidR="004D7992" w:rsidRDefault="004D7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92" w:rsidRDefault="004D7992" w:rsidP="007426BA">
      <w:r>
        <w:separator/>
      </w:r>
    </w:p>
  </w:footnote>
  <w:footnote w:type="continuationSeparator" w:id="0">
    <w:p w:rsidR="004D7992" w:rsidRDefault="004D7992" w:rsidP="00742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320DB"/>
    <w:multiLevelType w:val="hybridMultilevel"/>
    <w:tmpl w:val="7162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F56129"/>
    <w:multiLevelType w:val="hybridMultilevel"/>
    <w:tmpl w:val="9F306262"/>
    <w:lvl w:ilvl="0" w:tplc="BA3AC6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9226C4"/>
    <w:multiLevelType w:val="hybridMultilevel"/>
    <w:tmpl w:val="B34CD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7266765"/>
    <w:multiLevelType w:val="hybridMultilevel"/>
    <w:tmpl w:val="D452D4F2"/>
    <w:lvl w:ilvl="0" w:tplc="0F6AAD64">
      <w:numFmt w:val="bullet"/>
      <w:lvlText w:val=""/>
      <w:lvlJc w:val="left"/>
      <w:pPr>
        <w:ind w:left="3240" w:hanging="360"/>
      </w:pPr>
      <w:rPr>
        <w:rFonts w:ascii="Symbol" w:eastAsia="Calibri" w:hAnsi="Symbol" w:cs="Calibri"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7F7922FA"/>
    <w:multiLevelType w:val="multilevel"/>
    <w:tmpl w:val="2FD8D12A"/>
    <w:lvl w:ilvl="0">
      <w:start w:val="5"/>
      <w:numFmt w:val="decimal"/>
      <w:lvlText w:val="%1"/>
      <w:lvlJc w:val="left"/>
      <w:pPr>
        <w:ind w:left="435" w:hanging="435"/>
      </w:pPr>
      <w:rPr>
        <w:rFonts w:hint="default"/>
        <w:sz w:val="22"/>
      </w:rPr>
    </w:lvl>
    <w:lvl w:ilvl="1">
      <w:start w:val="1"/>
      <w:numFmt w:val="decimal"/>
      <w:lvlText w:val="%1.%2"/>
      <w:lvlJc w:val="left"/>
      <w:pPr>
        <w:ind w:left="795" w:hanging="435"/>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num w:numId="1">
    <w:abstractNumId w:val="4"/>
  </w:num>
  <w:num w:numId="2">
    <w:abstractNumId w:val="3"/>
  </w:num>
  <w:num w:numId="3">
    <w:abstractNumId w:val="2"/>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D0"/>
    <w:rsid w:val="00050DD7"/>
    <w:rsid w:val="0006585C"/>
    <w:rsid w:val="00085E14"/>
    <w:rsid w:val="000B09E5"/>
    <w:rsid w:val="000D03AD"/>
    <w:rsid w:val="000E003D"/>
    <w:rsid w:val="001030BB"/>
    <w:rsid w:val="00135AB3"/>
    <w:rsid w:val="00165177"/>
    <w:rsid w:val="0018309C"/>
    <w:rsid w:val="001C1F89"/>
    <w:rsid w:val="0020179E"/>
    <w:rsid w:val="00226255"/>
    <w:rsid w:val="00242325"/>
    <w:rsid w:val="002539A2"/>
    <w:rsid w:val="00274A90"/>
    <w:rsid w:val="002B35E4"/>
    <w:rsid w:val="00355400"/>
    <w:rsid w:val="003D477A"/>
    <w:rsid w:val="003D58EE"/>
    <w:rsid w:val="003E7EAE"/>
    <w:rsid w:val="00403639"/>
    <w:rsid w:val="0044130C"/>
    <w:rsid w:val="00471109"/>
    <w:rsid w:val="00476941"/>
    <w:rsid w:val="00490D01"/>
    <w:rsid w:val="004B13D0"/>
    <w:rsid w:val="004D7992"/>
    <w:rsid w:val="00522322"/>
    <w:rsid w:val="00575478"/>
    <w:rsid w:val="00592E79"/>
    <w:rsid w:val="005B6410"/>
    <w:rsid w:val="005B680A"/>
    <w:rsid w:val="005C69BE"/>
    <w:rsid w:val="005D51C3"/>
    <w:rsid w:val="00607CA7"/>
    <w:rsid w:val="00636A30"/>
    <w:rsid w:val="00651D5C"/>
    <w:rsid w:val="00655D65"/>
    <w:rsid w:val="006A2BD7"/>
    <w:rsid w:val="006A3021"/>
    <w:rsid w:val="006C3352"/>
    <w:rsid w:val="006E18A9"/>
    <w:rsid w:val="007101E5"/>
    <w:rsid w:val="00741DF6"/>
    <w:rsid w:val="007426BA"/>
    <w:rsid w:val="00764564"/>
    <w:rsid w:val="007704BE"/>
    <w:rsid w:val="007B46C3"/>
    <w:rsid w:val="007B49AC"/>
    <w:rsid w:val="007C0F66"/>
    <w:rsid w:val="007E1317"/>
    <w:rsid w:val="00811001"/>
    <w:rsid w:val="00827EFE"/>
    <w:rsid w:val="00827F02"/>
    <w:rsid w:val="0086597B"/>
    <w:rsid w:val="008B4743"/>
    <w:rsid w:val="008C6132"/>
    <w:rsid w:val="008F02A5"/>
    <w:rsid w:val="008F395B"/>
    <w:rsid w:val="009172AA"/>
    <w:rsid w:val="009220FB"/>
    <w:rsid w:val="0093194A"/>
    <w:rsid w:val="0095207A"/>
    <w:rsid w:val="009862A1"/>
    <w:rsid w:val="009D482D"/>
    <w:rsid w:val="009F072E"/>
    <w:rsid w:val="00A3411B"/>
    <w:rsid w:val="00A36B77"/>
    <w:rsid w:val="00A47C4A"/>
    <w:rsid w:val="00A6172E"/>
    <w:rsid w:val="00A8548A"/>
    <w:rsid w:val="00AC0197"/>
    <w:rsid w:val="00AC5B77"/>
    <w:rsid w:val="00AE1B06"/>
    <w:rsid w:val="00AE3F22"/>
    <w:rsid w:val="00B50CCC"/>
    <w:rsid w:val="00B57D0D"/>
    <w:rsid w:val="00B956D0"/>
    <w:rsid w:val="00B95A06"/>
    <w:rsid w:val="00BC0454"/>
    <w:rsid w:val="00BD421A"/>
    <w:rsid w:val="00BE06ED"/>
    <w:rsid w:val="00BE773B"/>
    <w:rsid w:val="00C1784D"/>
    <w:rsid w:val="00C30754"/>
    <w:rsid w:val="00C32454"/>
    <w:rsid w:val="00C339AF"/>
    <w:rsid w:val="00C502DB"/>
    <w:rsid w:val="00C62683"/>
    <w:rsid w:val="00C81131"/>
    <w:rsid w:val="00C8346F"/>
    <w:rsid w:val="00C93E8B"/>
    <w:rsid w:val="00CA01DB"/>
    <w:rsid w:val="00CB2FD7"/>
    <w:rsid w:val="00D174F7"/>
    <w:rsid w:val="00D30BBA"/>
    <w:rsid w:val="00D71DD6"/>
    <w:rsid w:val="00DA0083"/>
    <w:rsid w:val="00DA1CAD"/>
    <w:rsid w:val="00DB3EC1"/>
    <w:rsid w:val="00DD2C85"/>
    <w:rsid w:val="00DF12B9"/>
    <w:rsid w:val="00E805F3"/>
    <w:rsid w:val="00E85AD3"/>
    <w:rsid w:val="00EA1473"/>
    <w:rsid w:val="00EC03D6"/>
    <w:rsid w:val="00EC2329"/>
    <w:rsid w:val="00EC57A5"/>
    <w:rsid w:val="00F00AB0"/>
    <w:rsid w:val="00F420A0"/>
    <w:rsid w:val="00F718DC"/>
    <w:rsid w:val="00F768D2"/>
    <w:rsid w:val="00F814FA"/>
    <w:rsid w:val="00F8334C"/>
    <w:rsid w:val="00F8613F"/>
    <w:rsid w:val="00F8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6BA"/>
    <w:pPr>
      <w:tabs>
        <w:tab w:val="center" w:pos="4513"/>
        <w:tab w:val="right" w:pos="9026"/>
      </w:tabs>
    </w:pPr>
  </w:style>
  <w:style w:type="character" w:customStyle="1" w:styleId="HeaderChar">
    <w:name w:val="Header Char"/>
    <w:basedOn w:val="DefaultParagraphFont"/>
    <w:link w:val="Header"/>
    <w:uiPriority w:val="99"/>
    <w:rsid w:val="007426BA"/>
    <w:rPr>
      <w:rFonts w:ascii="Calibri" w:eastAsia="Calibri" w:hAnsi="Calibri" w:cs="Times New Roman"/>
    </w:rPr>
  </w:style>
  <w:style w:type="paragraph" w:styleId="Footer">
    <w:name w:val="footer"/>
    <w:basedOn w:val="Normal"/>
    <w:link w:val="FooterChar"/>
    <w:uiPriority w:val="99"/>
    <w:unhideWhenUsed/>
    <w:rsid w:val="007426BA"/>
    <w:pPr>
      <w:tabs>
        <w:tab w:val="center" w:pos="4513"/>
        <w:tab w:val="right" w:pos="9026"/>
      </w:tabs>
    </w:pPr>
  </w:style>
  <w:style w:type="character" w:customStyle="1" w:styleId="FooterChar">
    <w:name w:val="Footer Char"/>
    <w:basedOn w:val="DefaultParagraphFont"/>
    <w:link w:val="Footer"/>
    <w:uiPriority w:val="99"/>
    <w:rsid w:val="007426BA"/>
    <w:rPr>
      <w:rFonts w:ascii="Calibri" w:eastAsia="Calibri" w:hAnsi="Calibri" w:cs="Times New Roman"/>
    </w:rPr>
  </w:style>
  <w:style w:type="paragraph" w:styleId="BalloonText">
    <w:name w:val="Balloon Text"/>
    <w:basedOn w:val="Normal"/>
    <w:link w:val="BalloonTextChar"/>
    <w:uiPriority w:val="99"/>
    <w:semiHidden/>
    <w:unhideWhenUsed/>
    <w:rsid w:val="00C62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683"/>
    <w:rPr>
      <w:rFonts w:ascii="Segoe UI" w:eastAsia="Calibri" w:hAnsi="Segoe UI" w:cs="Segoe UI"/>
      <w:sz w:val="18"/>
      <w:szCs w:val="18"/>
    </w:rPr>
  </w:style>
  <w:style w:type="paragraph" w:styleId="ListParagraph">
    <w:name w:val="List Paragraph"/>
    <w:basedOn w:val="Normal"/>
    <w:uiPriority w:val="34"/>
    <w:qFormat/>
    <w:rsid w:val="00655D65"/>
    <w:pPr>
      <w:ind w:left="720"/>
    </w:pPr>
    <w:rPr>
      <w:rFonts w:eastAsiaTheme="minorHAnsi" w:cs="Calibri"/>
    </w:rPr>
  </w:style>
  <w:style w:type="character" w:styleId="Hyperlink">
    <w:name w:val="Hyperlink"/>
    <w:basedOn w:val="DefaultParagraphFont"/>
    <w:uiPriority w:val="99"/>
    <w:unhideWhenUsed/>
    <w:rsid w:val="00655D65"/>
    <w:rPr>
      <w:color w:val="0000FF" w:themeColor="hyperlink"/>
      <w:u w:val="single"/>
    </w:rPr>
  </w:style>
  <w:style w:type="character" w:styleId="FollowedHyperlink">
    <w:name w:val="FollowedHyperlink"/>
    <w:basedOn w:val="DefaultParagraphFont"/>
    <w:uiPriority w:val="99"/>
    <w:semiHidden/>
    <w:unhideWhenUsed/>
    <w:rsid w:val="00F863FE"/>
    <w:rPr>
      <w:color w:val="800080" w:themeColor="followedHyperlink"/>
      <w:u w:val="single"/>
    </w:rPr>
  </w:style>
  <w:style w:type="paragraph" w:customStyle="1" w:styleId="Body">
    <w:name w:val="Body"/>
    <w:rsid w:val="00050DD7"/>
    <w:rPr>
      <w:rFonts w:ascii="Helvetica" w:eastAsia="Arial Unicode MS" w:hAnsi="Arial Unicode MS" w:cs="Arial Unicode MS"/>
      <w:color w:val="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6BA"/>
    <w:pPr>
      <w:tabs>
        <w:tab w:val="center" w:pos="4513"/>
        <w:tab w:val="right" w:pos="9026"/>
      </w:tabs>
    </w:pPr>
  </w:style>
  <w:style w:type="character" w:customStyle="1" w:styleId="HeaderChar">
    <w:name w:val="Header Char"/>
    <w:basedOn w:val="DefaultParagraphFont"/>
    <w:link w:val="Header"/>
    <w:uiPriority w:val="99"/>
    <w:rsid w:val="007426BA"/>
    <w:rPr>
      <w:rFonts w:ascii="Calibri" w:eastAsia="Calibri" w:hAnsi="Calibri" w:cs="Times New Roman"/>
    </w:rPr>
  </w:style>
  <w:style w:type="paragraph" w:styleId="Footer">
    <w:name w:val="footer"/>
    <w:basedOn w:val="Normal"/>
    <w:link w:val="FooterChar"/>
    <w:uiPriority w:val="99"/>
    <w:unhideWhenUsed/>
    <w:rsid w:val="007426BA"/>
    <w:pPr>
      <w:tabs>
        <w:tab w:val="center" w:pos="4513"/>
        <w:tab w:val="right" w:pos="9026"/>
      </w:tabs>
    </w:pPr>
  </w:style>
  <w:style w:type="character" w:customStyle="1" w:styleId="FooterChar">
    <w:name w:val="Footer Char"/>
    <w:basedOn w:val="DefaultParagraphFont"/>
    <w:link w:val="Footer"/>
    <w:uiPriority w:val="99"/>
    <w:rsid w:val="007426BA"/>
    <w:rPr>
      <w:rFonts w:ascii="Calibri" w:eastAsia="Calibri" w:hAnsi="Calibri" w:cs="Times New Roman"/>
    </w:rPr>
  </w:style>
  <w:style w:type="paragraph" w:styleId="BalloonText">
    <w:name w:val="Balloon Text"/>
    <w:basedOn w:val="Normal"/>
    <w:link w:val="BalloonTextChar"/>
    <w:uiPriority w:val="99"/>
    <w:semiHidden/>
    <w:unhideWhenUsed/>
    <w:rsid w:val="00C62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683"/>
    <w:rPr>
      <w:rFonts w:ascii="Segoe UI" w:eastAsia="Calibri" w:hAnsi="Segoe UI" w:cs="Segoe UI"/>
      <w:sz w:val="18"/>
      <w:szCs w:val="18"/>
    </w:rPr>
  </w:style>
  <w:style w:type="paragraph" w:styleId="ListParagraph">
    <w:name w:val="List Paragraph"/>
    <w:basedOn w:val="Normal"/>
    <w:uiPriority w:val="34"/>
    <w:qFormat/>
    <w:rsid w:val="00655D65"/>
    <w:pPr>
      <w:ind w:left="720"/>
    </w:pPr>
    <w:rPr>
      <w:rFonts w:eastAsiaTheme="minorHAnsi" w:cs="Calibri"/>
    </w:rPr>
  </w:style>
  <w:style w:type="character" w:styleId="Hyperlink">
    <w:name w:val="Hyperlink"/>
    <w:basedOn w:val="DefaultParagraphFont"/>
    <w:uiPriority w:val="99"/>
    <w:unhideWhenUsed/>
    <w:rsid w:val="00655D65"/>
    <w:rPr>
      <w:color w:val="0000FF" w:themeColor="hyperlink"/>
      <w:u w:val="single"/>
    </w:rPr>
  </w:style>
  <w:style w:type="character" w:styleId="FollowedHyperlink">
    <w:name w:val="FollowedHyperlink"/>
    <w:basedOn w:val="DefaultParagraphFont"/>
    <w:uiPriority w:val="99"/>
    <w:semiHidden/>
    <w:unhideWhenUsed/>
    <w:rsid w:val="00F863FE"/>
    <w:rPr>
      <w:color w:val="800080" w:themeColor="followedHyperlink"/>
      <w:u w:val="single"/>
    </w:rPr>
  </w:style>
  <w:style w:type="paragraph" w:customStyle="1" w:styleId="Body">
    <w:name w:val="Body"/>
    <w:rsid w:val="00050DD7"/>
    <w:rPr>
      <w:rFonts w:ascii="Helvetica" w:eastAsia="Arial Unicode MS" w:hAnsi="Arial Unicode MS" w:cs="Arial Unicode M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1273">
      <w:bodyDiv w:val="1"/>
      <w:marLeft w:val="0"/>
      <w:marRight w:val="0"/>
      <w:marTop w:val="0"/>
      <w:marBottom w:val="0"/>
      <w:divBdr>
        <w:top w:val="none" w:sz="0" w:space="0" w:color="auto"/>
        <w:left w:val="none" w:sz="0" w:space="0" w:color="auto"/>
        <w:bottom w:val="none" w:sz="0" w:space="0" w:color="auto"/>
        <w:right w:val="none" w:sz="0" w:space="0" w:color="auto"/>
      </w:divBdr>
    </w:div>
    <w:div w:id="338653895">
      <w:bodyDiv w:val="1"/>
      <w:marLeft w:val="0"/>
      <w:marRight w:val="0"/>
      <w:marTop w:val="0"/>
      <w:marBottom w:val="0"/>
      <w:divBdr>
        <w:top w:val="none" w:sz="0" w:space="0" w:color="auto"/>
        <w:left w:val="none" w:sz="0" w:space="0" w:color="auto"/>
        <w:bottom w:val="none" w:sz="0" w:space="0" w:color="auto"/>
        <w:right w:val="none" w:sz="0" w:space="0" w:color="auto"/>
      </w:divBdr>
    </w:div>
    <w:div w:id="874805340">
      <w:bodyDiv w:val="1"/>
      <w:marLeft w:val="0"/>
      <w:marRight w:val="0"/>
      <w:marTop w:val="0"/>
      <w:marBottom w:val="0"/>
      <w:divBdr>
        <w:top w:val="none" w:sz="0" w:space="0" w:color="auto"/>
        <w:left w:val="none" w:sz="0" w:space="0" w:color="auto"/>
        <w:bottom w:val="none" w:sz="0" w:space="0" w:color="auto"/>
        <w:right w:val="none" w:sz="0" w:space="0" w:color="auto"/>
      </w:divBdr>
    </w:div>
    <w:div w:id="1041634652">
      <w:bodyDiv w:val="1"/>
      <w:marLeft w:val="0"/>
      <w:marRight w:val="0"/>
      <w:marTop w:val="0"/>
      <w:marBottom w:val="0"/>
      <w:divBdr>
        <w:top w:val="none" w:sz="0" w:space="0" w:color="auto"/>
        <w:left w:val="none" w:sz="0" w:space="0" w:color="auto"/>
        <w:bottom w:val="none" w:sz="0" w:space="0" w:color="auto"/>
        <w:right w:val="none" w:sz="0" w:space="0" w:color="auto"/>
      </w:divBdr>
    </w:div>
    <w:div w:id="1101686742">
      <w:bodyDiv w:val="1"/>
      <w:marLeft w:val="0"/>
      <w:marRight w:val="0"/>
      <w:marTop w:val="0"/>
      <w:marBottom w:val="0"/>
      <w:divBdr>
        <w:top w:val="none" w:sz="0" w:space="0" w:color="auto"/>
        <w:left w:val="none" w:sz="0" w:space="0" w:color="auto"/>
        <w:bottom w:val="none" w:sz="0" w:space="0" w:color="auto"/>
        <w:right w:val="none" w:sz="0" w:space="0" w:color="auto"/>
      </w:divBdr>
    </w:div>
    <w:div w:id="1366902022">
      <w:bodyDiv w:val="1"/>
      <w:marLeft w:val="0"/>
      <w:marRight w:val="0"/>
      <w:marTop w:val="0"/>
      <w:marBottom w:val="0"/>
      <w:divBdr>
        <w:top w:val="none" w:sz="0" w:space="0" w:color="auto"/>
        <w:left w:val="none" w:sz="0" w:space="0" w:color="auto"/>
        <w:bottom w:val="none" w:sz="0" w:space="0" w:color="auto"/>
        <w:right w:val="none" w:sz="0" w:space="0" w:color="auto"/>
      </w:divBdr>
    </w:div>
    <w:div w:id="1431119688">
      <w:bodyDiv w:val="1"/>
      <w:marLeft w:val="0"/>
      <w:marRight w:val="0"/>
      <w:marTop w:val="0"/>
      <w:marBottom w:val="0"/>
      <w:divBdr>
        <w:top w:val="none" w:sz="0" w:space="0" w:color="auto"/>
        <w:left w:val="none" w:sz="0" w:space="0" w:color="auto"/>
        <w:bottom w:val="none" w:sz="0" w:space="0" w:color="auto"/>
        <w:right w:val="none" w:sz="0" w:space="0" w:color="auto"/>
      </w:divBdr>
    </w:div>
    <w:div w:id="1934045927">
      <w:bodyDiv w:val="1"/>
      <w:marLeft w:val="0"/>
      <w:marRight w:val="0"/>
      <w:marTop w:val="0"/>
      <w:marBottom w:val="0"/>
      <w:divBdr>
        <w:top w:val="none" w:sz="0" w:space="0" w:color="auto"/>
        <w:left w:val="none" w:sz="0" w:space="0" w:color="auto"/>
        <w:bottom w:val="none" w:sz="0" w:space="0" w:color="auto"/>
        <w:right w:val="none" w:sz="0" w:space="0" w:color="auto"/>
      </w:divBdr>
    </w:div>
    <w:div w:id="20284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316FCF5F64740A5B591D01EEC9D07" ma:contentTypeVersion="1" ma:contentTypeDescription="Create a new document." ma:contentTypeScope="" ma:versionID="a08b3e75a23c1d31ae00e5530fcf900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E3A885-021F-4931-B3B5-45E529D1CF62}"/>
</file>

<file path=customXml/itemProps2.xml><?xml version="1.0" encoding="utf-8"?>
<ds:datastoreItem xmlns:ds="http://schemas.openxmlformats.org/officeDocument/2006/customXml" ds:itemID="{9D548B55-49E9-480E-8E81-6F5FD10053F2}"/>
</file>

<file path=customXml/itemProps3.xml><?xml version="1.0" encoding="utf-8"?>
<ds:datastoreItem xmlns:ds="http://schemas.openxmlformats.org/officeDocument/2006/customXml" ds:itemID="{BFBC16A8-FCF5-4D00-B555-D3D65F4FE4C2}"/>
</file>

<file path=docProps/app.xml><?xml version="1.0" encoding="utf-8"?>
<Properties xmlns="http://schemas.openxmlformats.org/officeDocument/2006/extended-properties" xmlns:vt="http://schemas.openxmlformats.org/officeDocument/2006/docPropsVTypes">
  <Template>Normal</Template>
  <TotalTime>3</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11 - Agreed Actions Log</dc:title>
  <dc:creator>Wilkinson, Samantha</dc:creator>
  <cp:lastModifiedBy>Duckett, Emma</cp:lastModifiedBy>
  <cp:revision>6</cp:revision>
  <cp:lastPrinted>2015-02-26T11:44:00Z</cp:lastPrinted>
  <dcterms:created xsi:type="dcterms:W3CDTF">2015-02-26T11:38:00Z</dcterms:created>
  <dcterms:modified xsi:type="dcterms:W3CDTF">2015-02-26T14:31:00Z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0x0101002E9316FCF5F64740A5B591D01EEC9D07</vt:lpwstr>
  </property>
</Properties>
</file>