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3D0" w:rsidRDefault="00C329B9" w:rsidP="004B13D0">
      <w:pPr>
        <w:rPr>
          <w:b/>
          <w:sz w:val="28"/>
          <w:szCs w:val="28"/>
        </w:rPr>
      </w:pPr>
      <w:r w:rsidRPr="00C329B9">
        <w:rPr>
          <w:b/>
          <w:noProof/>
          <w:sz w:val="28"/>
          <w:szCs w:val="28"/>
          <w:lang w:eastAsia="en-GB"/>
        </w:rPr>
        <mc:AlternateContent>
          <mc:Choice Requires="wps">
            <w:drawing>
              <wp:anchor distT="0" distB="0" distL="114300" distR="114300" simplePos="0" relativeHeight="251661312" behindDoc="0" locked="0" layoutInCell="1" allowOverlap="1" wp14:editId="36B11C9B">
                <wp:simplePos x="0" y="0"/>
                <wp:positionH relativeFrom="column">
                  <wp:posOffset>7081520</wp:posOffset>
                </wp:positionH>
                <wp:positionV relativeFrom="paragraph">
                  <wp:posOffset>-114300</wp:posOffset>
                </wp:positionV>
                <wp:extent cx="1042670" cy="1403985"/>
                <wp:effectExtent l="0" t="0" r="2413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1403985"/>
                        </a:xfrm>
                        <a:prstGeom prst="rect">
                          <a:avLst/>
                        </a:prstGeom>
                        <a:solidFill>
                          <a:srgbClr val="FFFFFF"/>
                        </a:solidFill>
                        <a:ln w="9525">
                          <a:solidFill>
                            <a:srgbClr val="000000"/>
                          </a:solidFill>
                          <a:miter lim="800000"/>
                          <a:headEnd/>
                          <a:tailEnd/>
                        </a:ln>
                      </wps:spPr>
                      <wps:txbx>
                        <w:txbxContent>
                          <w:p w:rsidR="00C329B9" w:rsidRDefault="00C329B9" w:rsidP="00C329B9">
                            <w:pPr>
                              <w:jc w:val="center"/>
                            </w:pPr>
                            <w:r>
                              <w:t>Item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7.6pt;margin-top:-9pt;width:82.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">
                <v:textbox style="mso-fit-shape-to-text:t">
                  <w:txbxContent>
                    <w:p w:rsidR="00C329B9" w:rsidRDefault="00C329B9" w:rsidP="00C329B9">
                      <w:pPr>
                        <w:jc w:val="center"/>
                      </w:pPr>
                      <w:r>
                        <w:t>Item 10</w:t>
                      </w:r>
                    </w:p>
                  </w:txbxContent>
                </v:textbox>
              </v:shape>
            </w:pict>
          </mc:Fallback>
        </mc:AlternateContent>
      </w:r>
      <w:r w:rsidR="004B13D0">
        <w:rPr>
          <w:noProof/>
          <w:lang w:eastAsia="en-GB"/>
        </w:rPr>
        <w:drawing>
          <wp:anchor distT="0" distB="0" distL="114300" distR="114300" simplePos="0" relativeHeight="251659264" behindDoc="0" locked="0" layoutInCell="1" allowOverlap="1" wp14:anchorId="2B03CD0F" wp14:editId="4BDE8267">
            <wp:simplePos x="0" y="0"/>
            <wp:positionH relativeFrom="page">
              <wp:posOffset>770890</wp:posOffset>
            </wp:positionH>
            <wp:positionV relativeFrom="page">
              <wp:posOffset>333375</wp:posOffset>
            </wp:positionV>
            <wp:extent cx="1143000" cy="1485900"/>
            <wp:effectExtent l="0" t="0" r="0" b="0"/>
            <wp:wrapTight wrapText="bothSides">
              <wp:wrapPolygon edited="0">
                <wp:start x="0" y="0"/>
                <wp:lineTo x="0" y="21323"/>
                <wp:lineTo x="21240" y="21323"/>
                <wp:lineTo x="21240"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B13D0">
        <w:rPr>
          <w:b/>
          <w:sz w:val="28"/>
          <w:szCs w:val="28"/>
        </w:rPr>
        <w:tab/>
        <w:t>West Yorkshire Police and Crime Panel</w:t>
      </w:r>
    </w:p>
    <w:p w:rsidR="004B13D0" w:rsidRPr="007426BA" w:rsidRDefault="004B13D0" w:rsidP="004B13D0">
      <w:pPr>
        <w:rPr>
          <w:b/>
          <w:sz w:val="18"/>
          <w:szCs w:val="28"/>
        </w:rPr>
      </w:pPr>
    </w:p>
    <w:p w:rsidR="004B13D0" w:rsidRDefault="004B13D0" w:rsidP="004B13D0">
      <w:pPr>
        <w:rPr>
          <w:b/>
          <w:sz w:val="28"/>
          <w:szCs w:val="28"/>
        </w:rPr>
      </w:pPr>
      <w:r>
        <w:rPr>
          <w:b/>
          <w:sz w:val="28"/>
          <w:szCs w:val="28"/>
        </w:rPr>
        <w:tab/>
        <w:t>Agreed Actions</w:t>
      </w:r>
      <w:r w:rsidR="00636A30">
        <w:rPr>
          <w:b/>
          <w:sz w:val="28"/>
          <w:szCs w:val="28"/>
        </w:rPr>
        <w:t xml:space="preserve"> </w:t>
      </w:r>
    </w:p>
    <w:p w:rsidR="004B13D0" w:rsidRDefault="004B13D0" w:rsidP="004B13D0">
      <w:pPr>
        <w:rPr>
          <w:b/>
          <w:sz w:val="28"/>
          <w:szCs w:val="28"/>
        </w:rPr>
      </w:pPr>
      <w:r>
        <w:rPr>
          <w:b/>
          <w:sz w:val="28"/>
          <w:szCs w:val="28"/>
        </w:rPr>
        <w:t xml:space="preserve"> </w:t>
      </w:r>
      <w:r>
        <w:rPr>
          <w:b/>
          <w:sz w:val="28"/>
          <w:szCs w:val="28"/>
        </w:rPr>
        <w:tab/>
      </w:r>
      <w:r w:rsidR="00DA0083">
        <w:rPr>
          <w:b/>
          <w:sz w:val="28"/>
          <w:szCs w:val="28"/>
        </w:rPr>
        <w:t>___________________________________________________________________</w:t>
      </w:r>
    </w:p>
    <w:p w:rsidR="00DA0083" w:rsidRDefault="00DA0083" w:rsidP="004B13D0">
      <w:pPr>
        <w:rPr>
          <w:b/>
          <w:sz w:val="28"/>
          <w:szCs w:val="28"/>
        </w:rPr>
      </w:pPr>
      <w:bookmarkStart w:id="0" w:name="_GoBack"/>
      <w:bookmarkEnd w:id="0"/>
    </w:p>
    <w:p w:rsidR="004B13D0" w:rsidRDefault="004B13D0"/>
    <w:p w:rsidR="004B13D0" w:rsidRDefault="004B13D0"/>
    <w:tbl>
      <w:tblPr>
        <w:tblStyle w:val="TableGrid"/>
        <w:tblW w:w="14743" w:type="dxa"/>
        <w:tblInd w:w="-176" w:type="dxa"/>
        <w:tblLayout w:type="fixed"/>
        <w:tblLook w:val="04A0" w:firstRow="1" w:lastRow="0" w:firstColumn="1" w:lastColumn="0" w:noHBand="0" w:noVBand="1"/>
      </w:tblPr>
      <w:tblGrid>
        <w:gridCol w:w="1135"/>
        <w:gridCol w:w="992"/>
        <w:gridCol w:w="4820"/>
        <w:gridCol w:w="1275"/>
        <w:gridCol w:w="1276"/>
        <w:gridCol w:w="5245"/>
      </w:tblGrid>
      <w:tr w:rsidR="0020179E" w:rsidTr="000E003D">
        <w:tc>
          <w:tcPr>
            <w:tcW w:w="1135" w:type="dxa"/>
            <w:shd w:val="clear" w:color="auto" w:fill="D9D9D9" w:themeFill="background1" w:themeFillShade="D9"/>
          </w:tcPr>
          <w:p w:rsidR="0020179E" w:rsidRPr="004B13D0" w:rsidRDefault="0020179E">
            <w:pPr>
              <w:rPr>
                <w:b/>
              </w:rPr>
            </w:pPr>
            <w:r>
              <w:rPr>
                <w:b/>
              </w:rPr>
              <w:t>Date</w:t>
            </w:r>
          </w:p>
        </w:tc>
        <w:tc>
          <w:tcPr>
            <w:tcW w:w="992" w:type="dxa"/>
            <w:shd w:val="clear" w:color="auto" w:fill="D9D9D9" w:themeFill="background1" w:themeFillShade="D9"/>
          </w:tcPr>
          <w:p w:rsidR="0020179E" w:rsidRDefault="0020179E">
            <w:pPr>
              <w:rPr>
                <w:b/>
              </w:rPr>
            </w:pPr>
            <w:r w:rsidRPr="004B13D0">
              <w:rPr>
                <w:b/>
              </w:rPr>
              <w:t>Item</w:t>
            </w:r>
          </w:p>
          <w:p w:rsidR="0020179E" w:rsidRPr="00811001" w:rsidRDefault="0020179E">
            <w:pPr>
              <w:rPr>
                <w:b/>
                <w:sz w:val="12"/>
              </w:rPr>
            </w:pPr>
          </w:p>
        </w:tc>
        <w:tc>
          <w:tcPr>
            <w:tcW w:w="4820" w:type="dxa"/>
            <w:shd w:val="clear" w:color="auto" w:fill="D9D9D9" w:themeFill="background1" w:themeFillShade="D9"/>
          </w:tcPr>
          <w:p w:rsidR="0020179E" w:rsidRPr="004B13D0" w:rsidRDefault="0020179E">
            <w:pPr>
              <w:rPr>
                <w:b/>
              </w:rPr>
            </w:pPr>
            <w:r w:rsidRPr="004B13D0">
              <w:rPr>
                <w:b/>
              </w:rPr>
              <w:t>Agreed Action</w:t>
            </w:r>
          </w:p>
        </w:tc>
        <w:tc>
          <w:tcPr>
            <w:tcW w:w="1275" w:type="dxa"/>
            <w:shd w:val="clear" w:color="auto" w:fill="D9D9D9" w:themeFill="background1" w:themeFillShade="D9"/>
          </w:tcPr>
          <w:p w:rsidR="0020179E" w:rsidRPr="004B13D0" w:rsidRDefault="0020179E" w:rsidP="004B13D0">
            <w:pPr>
              <w:rPr>
                <w:b/>
              </w:rPr>
            </w:pPr>
            <w:r w:rsidRPr="004B13D0">
              <w:rPr>
                <w:b/>
              </w:rPr>
              <w:t>Attributed to</w:t>
            </w:r>
          </w:p>
        </w:tc>
        <w:tc>
          <w:tcPr>
            <w:tcW w:w="1276" w:type="dxa"/>
            <w:shd w:val="clear" w:color="auto" w:fill="D9D9D9" w:themeFill="background1" w:themeFillShade="D9"/>
          </w:tcPr>
          <w:p w:rsidR="0020179E" w:rsidRDefault="0020179E" w:rsidP="00636A30">
            <w:pPr>
              <w:rPr>
                <w:b/>
              </w:rPr>
            </w:pPr>
            <w:r>
              <w:rPr>
                <w:b/>
              </w:rPr>
              <w:t>Date for completion</w:t>
            </w:r>
          </w:p>
        </w:tc>
        <w:tc>
          <w:tcPr>
            <w:tcW w:w="5245" w:type="dxa"/>
            <w:shd w:val="clear" w:color="auto" w:fill="D9D9D9" w:themeFill="background1" w:themeFillShade="D9"/>
          </w:tcPr>
          <w:p w:rsidR="0020179E" w:rsidRPr="004B13D0" w:rsidRDefault="0020179E" w:rsidP="00636A30">
            <w:pPr>
              <w:rPr>
                <w:b/>
              </w:rPr>
            </w:pPr>
            <w:r>
              <w:rPr>
                <w:b/>
              </w:rPr>
              <w:t>Action undertaken</w:t>
            </w:r>
          </w:p>
        </w:tc>
      </w:tr>
      <w:tr w:rsidR="0020179E" w:rsidRPr="00EC03D6" w:rsidTr="000E003D">
        <w:tc>
          <w:tcPr>
            <w:tcW w:w="1135" w:type="dxa"/>
          </w:tcPr>
          <w:p w:rsidR="0020179E" w:rsidRPr="00EC03D6" w:rsidRDefault="0020179E" w:rsidP="00C30754">
            <w:r w:rsidRPr="00EC03D6">
              <w:t>7/2/14 and 7/3/14</w:t>
            </w:r>
          </w:p>
        </w:tc>
        <w:tc>
          <w:tcPr>
            <w:tcW w:w="992" w:type="dxa"/>
          </w:tcPr>
          <w:p w:rsidR="0020179E" w:rsidRPr="00EC03D6" w:rsidRDefault="0020179E" w:rsidP="00C30754"/>
        </w:tc>
        <w:tc>
          <w:tcPr>
            <w:tcW w:w="4820" w:type="dxa"/>
          </w:tcPr>
          <w:p w:rsidR="0020179E" w:rsidRPr="00EC03D6" w:rsidRDefault="0020179E" w:rsidP="00C30754">
            <w:r w:rsidRPr="00EC03D6">
              <w:t>The Panel sought to be involved in supporting the PCC to develop a long-term planning and financing strategy for policing and community safety in West Yorkshire that would include:</w:t>
            </w:r>
          </w:p>
          <w:p w:rsidR="0020179E" w:rsidRPr="00EC03D6" w:rsidRDefault="0020179E" w:rsidP="00592E79">
            <w:pPr>
              <w:numPr>
                <w:ilvl w:val="0"/>
                <w:numId w:val="2"/>
              </w:numPr>
              <w:tabs>
                <w:tab w:val="left" w:pos="459"/>
              </w:tabs>
              <w:ind w:left="459"/>
            </w:pPr>
            <w:r w:rsidRPr="00EC03D6">
              <w:t>Use of asset management and estates;</w:t>
            </w:r>
          </w:p>
          <w:p w:rsidR="0020179E" w:rsidRPr="00EC03D6" w:rsidRDefault="0020179E" w:rsidP="007426BA">
            <w:pPr>
              <w:numPr>
                <w:ilvl w:val="0"/>
                <w:numId w:val="2"/>
              </w:numPr>
              <w:tabs>
                <w:tab w:val="left" w:pos="459"/>
              </w:tabs>
              <w:ind w:left="459"/>
            </w:pPr>
            <w:r w:rsidRPr="00EC03D6">
              <w:t>Plans for reserves;</w:t>
            </w:r>
          </w:p>
          <w:p w:rsidR="0020179E" w:rsidRPr="00EC03D6" w:rsidRDefault="0020179E" w:rsidP="007426BA">
            <w:pPr>
              <w:numPr>
                <w:ilvl w:val="0"/>
                <w:numId w:val="2"/>
              </w:numPr>
              <w:tabs>
                <w:tab w:val="left" w:pos="459"/>
              </w:tabs>
              <w:ind w:left="459"/>
            </w:pPr>
            <w:r w:rsidRPr="00EC03D6">
              <w:t>Efficiency savings from working more collaboratively with local authorities and other forces;</w:t>
            </w:r>
          </w:p>
          <w:p w:rsidR="0020179E" w:rsidRPr="00EC03D6" w:rsidRDefault="0020179E" w:rsidP="007426BA">
            <w:pPr>
              <w:numPr>
                <w:ilvl w:val="0"/>
                <w:numId w:val="2"/>
              </w:numPr>
              <w:tabs>
                <w:tab w:val="left" w:pos="459"/>
              </w:tabs>
              <w:ind w:left="459"/>
            </w:pPr>
            <w:r w:rsidRPr="00EC03D6">
              <w:t>Efficiencies from the investment in technology and new processes through the £20m Transformation Fund;</w:t>
            </w:r>
          </w:p>
          <w:p w:rsidR="0020179E" w:rsidRPr="00EC03D6" w:rsidRDefault="0020179E" w:rsidP="007426BA">
            <w:pPr>
              <w:numPr>
                <w:ilvl w:val="0"/>
                <w:numId w:val="2"/>
              </w:numPr>
              <w:tabs>
                <w:tab w:val="left" w:pos="459"/>
              </w:tabs>
              <w:ind w:left="459"/>
            </w:pPr>
            <w:r w:rsidRPr="00EC03D6">
              <w:t>Staffing, covering in particular the long-term balance between Police Officers, specialist police staff and PCSOs as a part of community policing;</w:t>
            </w:r>
          </w:p>
          <w:p w:rsidR="0020179E" w:rsidRPr="00EC03D6" w:rsidRDefault="0020179E" w:rsidP="007426BA">
            <w:pPr>
              <w:numPr>
                <w:ilvl w:val="0"/>
                <w:numId w:val="2"/>
              </w:numPr>
              <w:tabs>
                <w:tab w:val="left" w:pos="459"/>
              </w:tabs>
              <w:ind w:left="459"/>
            </w:pPr>
            <w:r w:rsidRPr="00EC03D6">
              <w:t>Maximising income from external sources, like the national POCA campaign and national and European improvement funds;</w:t>
            </w:r>
          </w:p>
          <w:p w:rsidR="0020179E" w:rsidRPr="00EC03D6" w:rsidRDefault="0020179E" w:rsidP="007426BA">
            <w:pPr>
              <w:numPr>
                <w:ilvl w:val="0"/>
                <w:numId w:val="2"/>
              </w:numPr>
              <w:tabs>
                <w:tab w:val="left" w:pos="459"/>
              </w:tabs>
              <w:ind w:left="459"/>
            </w:pPr>
            <w:proofErr w:type="spellStart"/>
            <w:r w:rsidRPr="00EC03D6">
              <w:t>Precepting</w:t>
            </w:r>
            <w:proofErr w:type="spellEnd"/>
            <w:r w:rsidRPr="00EC03D6">
              <w:t xml:space="preserve"> assumptions, as reflected in the existing Medium-Term Financial Forecast.</w:t>
            </w:r>
          </w:p>
          <w:p w:rsidR="0020179E" w:rsidRPr="00EC03D6" w:rsidRDefault="0020179E" w:rsidP="00C30754"/>
          <w:p w:rsidR="0020179E" w:rsidRPr="00EC03D6" w:rsidRDefault="0020179E" w:rsidP="00C30754">
            <w:r w:rsidRPr="00EC03D6">
              <w:t>Agreement of the precept was based on commitments the PCC made to:</w:t>
            </w:r>
          </w:p>
          <w:p w:rsidR="0020179E" w:rsidRPr="00EC03D6" w:rsidRDefault="0020179E" w:rsidP="004D7992">
            <w:pPr>
              <w:numPr>
                <w:ilvl w:val="2"/>
                <w:numId w:val="1"/>
              </w:numPr>
              <w:ind w:left="600" w:hanging="708"/>
            </w:pPr>
            <w:r w:rsidRPr="00EC03D6">
              <w:t xml:space="preserve">Involve the public, partners and Panel in a long-term planning process on the shape </w:t>
            </w:r>
            <w:r w:rsidRPr="00EC03D6">
              <w:lastRenderedPageBreak/>
              <w:t>and size of frontline policing in West Yorkshire, covering the staffing mix of the Force and physical presence in communities;</w:t>
            </w:r>
          </w:p>
          <w:p w:rsidR="0020179E" w:rsidRPr="00EC03D6" w:rsidRDefault="0020179E" w:rsidP="004D7992">
            <w:pPr>
              <w:numPr>
                <w:ilvl w:val="2"/>
                <w:numId w:val="1"/>
              </w:numPr>
              <w:ind w:left="600" w:hanging="708"/>
            </w:pPr>
            <w:r w:rsidRPr="00EC03D6">
              <w:t>Bring forward a detailed report on the use of the £20m Force Transformation Fund, including the expected outcomes for residents and longer-term efficiency savings;</w:t>
            </w:r>
          </w:p>
          <w:p w:rsidR="0020179E" w:rsidRPr="00EC03D6" w:rsidRDefault="0020179E" w:rsidP="004D7992">
            <w:pPr>
              <w:numPr>
                <w:ilvl w:val="2"/>
                <w:numId w:val="1"/>
              </w:numPr>
              <w:ind w:left="600" w:hanging="708"/>
            </w:pPr>
            <w:r w:rsidRPr="00EC03D6">
              <w:t xml:space="preserve">Monitor the impact of the Force’s new assets so that savings in running costs are realised and reinvested in recruitment of Police Officers; </w:t>
            </w:r>
          </w:p>
          <w:p w:rsidR="0020179E" w:rsidRPr="00EC03D6" w:rsidRDefault="0020179E" w:rsidP="004D7992">
            <w:pPr>
              <w:numPr>
                <w:ilvl w:val="2"/>
                <w:numId w:val="1"/>
              </w:numPr>
              <w:ind w:left="600" w:hanging="708"/>
            </w:pPr>
            <w:r w:rsidRPr="00EC03D6">
              <w:t>Introduce, alongside the Chief Constable, a strategic approach to the use of Special Constables, including in specialist areas like cyber and financial crime;</w:t>
            </w:r>
          </w:p>
          <w:p w:rsidR="0020179E" w:rsidRPr="00EC03D6" w:rsidRDefault="0020179E" w:rsidP="004D7992">
            <w:pPr>
              <w:numPr>
                <w:ilvl w:val="2"/>
                <w:numId w:val="1"/>
              </w:numPr>
              <w:ind w:left="600" w:hanging="708"/>
            </w:pPr>
            <w:r w:rsidRPr="00EC03D6">
              <w:t>Ensure that the recruitment of 126 Police Officers reflects the diversity of West Yorkshire;</w:t>
            </w:r>
          </w:p>
          <w:p w:rsidR="0020179E" w:rsidRPr="00EC03D6" w:rsidRDefault="0020179E" w:rsidP="004D7992">
            <w:pPr>
              <w:numPr>
                <w:ilvl w:val="2"/>
                <w:numId w:val="1"/>
              </w:numPr>
              <w:ind w:left="600" w:hanging="708"/>
            </w:pPr>
            <w:r w:rsidRPr="00EC03D6">
              <w:t>Ensure that the costs of the Office of the Police and Crime Commissioner continue to reflect the spending pressures on the Force as a whole; and,</w:t>
            </w:r>
          </w:p>
          <w:p w:rsidR="0020179E" w:rsidRPr="00EC03D6" w:rsidRDefault="0020179E" w:rsidP="004D7992">
            <w:pPr>
              <w:numPr>
                <w:ilvl w:val="2"/>
                <w:numId w:val="1"/>
              </w:numPr>
              <w:ind w:left="600" w:hanging="708"/>
            </w:pPr>
            <w:r w:rsidRPr="00EC03D6">
              <w:t xml:space="preserve">Continue to seek external funding, including from the national Police Innovation Fund. </w:t>
            </w:r>
          </w:p>
        </w:tc>
        <w:tc>
          <w:tcPr>
            <w:tcW w:w="1275" w:type="dxa"/>
          </w:tcPr>
          <w:p w:rsidR="0020179E" w:rsidRPr="00EC03D6" w:rsidRDefault="0020179E" w:rsidP="00C30754">
            <w:r w:rsidRPr="00EC03D6">
              <w:lastRenderedPageBreak/>
              <w:t>PCC and Panel</w:t>
            </w:r>
          </w:p>
        </w:tc>
        <w:tc>
          <w:tcPr>
            <w:tcW w:w="1276" w:type="dxa"/>
          </w:tcPr>
          <w:p w:rsidR="0020179E" w:rsidRPr="00EC03D6" w:rsidRDefault="003D477A" w:rsidP="00C30754">
            <w:r w:rsidRPr="00EC03D6">
              <w:t>Ongoing</w:t>
            </w:r>
          </w:p>
        </w:tc>
        <w:tc>
          <w:tcPr>
            <w:tcW w:w="5245" w:type="dxa"/>
          </w:tcPr>
          <w:p w:rsidR="0020179E" w:rsidRPr="00EC03D6" w:rsidRDefault="0086597B" w:rsidP="00C30754">
            <w:r w:rsidRPr="00EC03D6">
              <w:t>Update report to meeting on 12</w:t>
            </w:r>
            <w:r w:rsidRPr="00EC03D6">
              <w:rPr>
                <w:vertAlign w:val="superscript"/>
              </w:rPr>
              <w:t>th</w:t>
            </w:r>
            <w:r w:rsidRPr="00EC03D6">
              <w:t xml:space="preserve"> September</w:t>
            </w:r>
          </w:p>
          <w:p w:rsidR="0086597B" w:rsidRPr="00EC03D6" w:rsidRDefault="0086597B" w:rsidP="0086597B">
            <w:pPr>
              <w:pStyle w:val="ListParagraph"/>
              <w:ind w:left="343"/>
            </w:pPr>
          </w:p>
          <w:p w:rsidR="0086597B" w:rsidRPr="00EC03D6" w:rsidRDefault="0020179E" w:rsidP="0086597B">
            <w:pPr>
              <w:pStyle w:val="ListParagraph"/>
              <w:numPr>
                <w:ilvl w:val="0"/>
                <w:numId w:val="6"/>
              </w:numPr>
              <w:ind w:left="317" w:hanging="283"/>
            </w:pPr>
            <w:r w:rsidRPr="00EC03D6">
              <w:t>Panel have received paper on Transformation Fund that went to the July Community Outcomes Meeting. A further paper will be brought to the Community Outcomes meeting on 4 August</w:t>
            </w:r>
            <w:r w:rsidR="0086597B" w:rsidRPr="00EC03D6">
              <w:t xml:space="preserve"> and the PCC will give an update at each Panel meeting   </w:t>
            </w:r>
            <w:r w:rsidRPr="00EC03D6">
              <w:t xml:space="preserve"> </w:t>
            </w:r>
            <w:r w:rsidR="0086597B" w:rsidRPr="00EC03D6">
              <w:t xml:space="preserve">following Community Outcomes meetings.  </w:t>
            </w:r>
          </w:p>
          <w:p w:rsidR="0086597B" w:rsidRPr="00EC03D6" w:rsidRDefault="0086597B" w:rsidP="0086597B">
            <w:pPr>
              <w:pStyle w:val="ListParagraph"/>
              <w:ind w:left="343"/>
            </w:pPr>
          </w:p>
          <w:p w:rsidR="0020179E" w:rsidRPr="00EC03D6" w:rsidRDefault="0020179E" w:rsidP="00C1784D">
            <w:pPr>
              <w:pStyle w:val="ListParagraph"/>
              <w:numPr>
                <w:ilvl w:val="0"/>
                <w:numId w:val="5"/>
              </w:numPr>
              <w:ind w:left="343" w:hanging="286"/>
            </w:pPr>
            <w:r w:rsidRPr="00EC03D6">
              <w:t>Leaders of Bradford MBC and Calderdale Council are leading a review on wider community safety funding. OPCC will make contact about possible Panel involvement.</w:t>
            </w:r>
          </w:p>
          <w:p w:rsidR="0086597B" w:rsidRPr="00EC03D6" w:rsidRDefault="0086597B" w:rsidP="003D477A"/>
          <w:p w:rsidR="0020179E" w:rsidRPr="00EC03D6" w:rsidRDefault="0020179E" w:rsidP="006E18A9">
            <w:pPr>
              <w:pStyle w:val="ListParagraph"/>
              <w:numPr>
                <w:ilvl w:val="0"/>
                <w:numId w:val="5"/>
              </w:numPr>
              <w:ind w:left="343" w:hanging="285"/>
            </w:pPr>
            <w:r w:rsidRPr="00EC03D6">
              <w:t xml:space="preserve">Medium-term Financial Forecast being refreshed. Work on </w:t>
            </w:r>
            <w:proofErr w:type="spellStart"/>
            <w:r w:rsidRPr="00EC03D6">
              <w:t>Precepting</w:t>
            </w:r>
            <w:proofErr w:type="spellEnd"/>
            <w:r w:rsidRPr="00EC03D6">
              <w:t xml:space="preserve"> Assumptions due to start from September.</w:t>
            </w:r>
          </w:p>
          <w:p w:rsidR="003D477A" w:rsidRPr="00EC03D6" w:rsidRDefault="003D477A" w:rsidP="003D477A">
            <w:pPr>
              <w:pStyle w:val="ListParagraph"/>
            </w:pPr>
          </w:p>
          <w:p w:rsidR="003D477A" w:rsidRDefault="003D477A" w:rsidP="006E18A9">
            <w:pPr>
              <w:pStyle w:val="ListParagraph"/>
              <w:numPr>
                <w:ilvl w:val="0"/>
                <w:numId w:val="5"/>
              </w:numPr>
              <w:ind w:left="343" w:hanging="285"/>
            </w:pPr>
            <w:r w:rsidRPr="00EC03D6">
              <w:t>PCC agreed to bring a report to the November meeting of the Panel following the Budget Seminar with the Force on 30 September 2014.</w:t>
            </w:r>
          </w:p>
          <w:p w:rsidR="00050DD7" w:rsidRDefault="00050DD7" w:rsidP="00050DD7">
            <w:pPr>
              <w:pStyle w:val="ListParagraph"/>
            </w:pPr>
          </w:p>
          <w:p w:rsidR="00050DD7" w:rsidRPr="00EC03D6" w:rsidRDefault="00050DD7" w:rsidP="00050DD7">
            <w:pPr>
              <w:pStyle w:val="ListParagraph"/>
              <w:ind w:left="343"/>
            </w:pPr>
            <w:r w:rsidRPr="00C339AF">
              <w:t>Precept Commitment update report on agenda for November</w:t>
            </w:r>
          </w:p>
        </w:tc>
      </w:tr>
      <w:tr w:rsidR="0020179E" w:rsidRPr="00EC03D6" w:rsidTr="000E003D">
        <w:tc>
          <w:tcPr>
            <w:tcW w:w="1135" w:type="dxa"/>
          </w:tcPr>
          <w:p w:rsidR="0020179E" w:rsidRPr="00EC03D6" w:rsidRDefault="0020179E"/>
        </w:tc>
        <w:tc>
          <w:tcPr>
            <w:tcW w:w="992" w:type="dxa"/>
          </w:tcPr>
          <w:p w:rsidR="0020179E" w:rsidRPr="00EC03D6" w:rsidRDefault="0020179E"/>
        </w:tc>
        <w:tc>
          <w:tcPr>
            <w:tcW w:w="4820" w:type="dxa"/>
          </w:tcPr>
          <w:p w:rsidR="0020179E" w:rsidRPr="00EC03D6" w:rsidRDefault="0020179E"/>
        </w:tc>
        <w:tc>
          <w:tcPr>
            <w:tcW w:w="1275" w:type="dxa"/>
          </w:tcPr>
          <w:p w:rsidR="0020179E" w:rsidRPr="00EC03D6" w:rsidRDefault="0020179E"/>
        </w:tc>
        <w:tc>
          <w:tcPr>
            <w:tcW w:w="1276" w:type="dxa"/>
          </w:tcPr>
          <w:p w:rsidR="0020179E" w:rsidRPr="00EC03D6" w:rsidRDefault="0020179E"/>
        </w:tc>
        <w:tc>
          <w:tcPr>
            <w:tcW w:w="5245" w:type="dxa"/>
          </w:tcPr>
          <w:p w:rsidR="0020179E" w:rsidRPr="00EC03D6" w:rsidRDefault="0020179E"/>
        </w:tc>
      </w:tr>
      <w:tr w:rsidR="0020179E" w:rsidRPr="00EC03D6" w:rsidTr="000E003D">
        <w:tc>
          <w:tcPr>
            <w:tcW w:w="1135" w:type="dxa"/>
          </w:tcPr>
          <w:p w:rsidR="0020179E" w:rsidRPr="00EC03D6" w:rsidRDefault="0020179E">
            <w:r w:rsidRPr="00EC03D6">
              <w:t>11/4/14</w:t>
            </w:r>
          </w:p>
        </w:tc>
        <w:tc>
          <w:tcPr>
            <w:tcW w:w="992" w:type="dxa"/>
          </w:tcPr>
          <w:p w:rsidR="0020179E" w:rsidRPr="00EC03D6" w:rsidRDefault="0020179E">
            <w:r w:rsidRPr="00EC03D6">
              <w:t>7.4.1</w:t>
            </w:r>
            <w:r w:rsidRPr="00EC03D6">
              <w:tab/>
            </w:r>
          </w:p>
        </w:tc>
        <w:tc>
          <w:tcPr>
            <w:tcW w:w="4820" w:type="dxa"/>
          </w:tcPr>
          <w:p w:rsidR="0020179E" w:rsidRPr="00EC03D6" w:rsidRDefault="0020179E">
            <w:r w:rsidRPr="00EC03D6">
              <w:t>That the Commissioner look further into this issue (use of police bail) and come back to the Panel within the next six months with an action plan addressing any necessary improvements.</w:t>
            </w:r>
          </w:p>
        </w:tc>
        <w:tc>
          <w:tcPr>
            <w:tcW w:w="1275" w:type="dxa"/>
          </w:tcPr>
          <w:p w:rsidR="0020179E" w:rsidRPr="00EC03D6" w:rsidRDefault="0020179E">
            <w:r w:rsidRPr="00EC03D6">
              <w:t>PCC</w:t>
            </w:r>
          </w:p>
        </w:tc>
        <w:tc>
          <w:tcPr>
            <w:tcW w:w="1276" w:type="dxa"/>
          </w:tcPr>
          <w:p w:rsidR="0020179E" w:rsidRPr="00EC03D6" w:rsidRDefault="00C339AF">
            <w:r>
              <w:t>17 April 15</w:t>
            </w:r>
          </w:p>
        </w:tc>
        <w:tc>
          <w:tcPr>
            <w:tcW w:w="5245" w:type="dxa"/>
          </w:tcPr>
          <w:p w:rsidR="0020179E" w:rsidRDefault="004D7992">
            <w:r w:rsidRPr="00EC03D6">
              <w:t>Report back to go to Panel meeting along with Acting Chief Constable in October.</w:t>
            </w:r>
          </w:p>
          <w:p w:rsidR="00050DD7" w:rsidRPr="00EC03D6" w:rsidRDefault="0018309C">
            <w:r w:rsidRPr="00C339AF">
              <w:t xml:space="preserve">Report to the October meeting </w:t>
            </w:r>
            <w:r w:rsidR="00C339AF" w:rsidRPr="00C339AF">
              <w:t>–</w:t>
            </w:r>
            <w:r w:rsidRPr="00C339AF">
              <w:t xml:space="preserve"> </w:t>
            </w:r>
            <w:r w:rsidR="00050DD7" w:rsidRPr="00C339AF">
              <w:t>Completed</w:t>
            </w:r>
            <w:r w:rsidR="00C339AF" w:rsidRPr="00C339AF">
              <w:t>.</w:t>
            </w:r>
            <w:r w:rsidR="00C339AF">
              <w:t xml:space="preserve">  Requested update in 6 months </w:t>
            </w:r>
          </w:p>
        </w:tc>
      </w:tr>
      <w:tr w:rsidR="0020179E" w:rsidRPr="00EC03D6" w:rsidTr="000E003D">
        <w:tc>
          <w:tcPr>
            <w:tcW w:w="1135" w:type="dxa"/>
          </w:tcPr>
          <w:p w:rsidR="0020179E" w:rsidRPr="00EC03D6" w:rsidRDefault="0020179E"/>
        </w:tc>
        <w:tc>
          <w:tcPr>
            <w:tcW w:w="992" w:type="dxa"/>
          </w:tcPr>
          <w:p w:rsidR="0020179E" w:rsidRPr="00EC03D6" w:rsidRDefault="0020179E"/>
        </w:tc>
        <w:tc>
          <w:tcPr>
            <w:tcW w:w="4820" w:type="dxa"/>
          </w:tcPr>
          <w:p w:rsidR="0020179E" w:rsidRPr="00EC03D6" w:rsidRDefault="0020179E"/>
        </w:tc>
        <w:tc>
          <w:tcPr>
            <w:tcW w:w="1275" w:type="dxa"/>
          </w:tcPr>
          <w:p w:rsidR="0020179E" w:rsidRPr="00EC03D6" w:rsidRDefault="0020179E"/>
        </w:tc>
        <w:tc>
          <w:tcPr>
            <w:tcW w:w="1276" w:type="dxa"/>
          </w:tcPr>
          <w:p w:rsidR="0020179E" w:rsidRPr="00EC03D6" w:rsidRDefault="0020179E"/>
        </w:tc>
        <w:tc>
          <w:tcPr>
            <w:tcW w:w="5245" w:type="dxa"/>
          </w:tcPr>
          <w:p w:rsidR="0020179E" w:rsidRPr="00EC03D6" w:rsidRDefault="0020179E"/>
        </w:tc>
      </w:tr>
      <w:tr w:rsidR="0020179E" w:rsidRPr="00EC03D6" w:rsidTr="000E003D">
        <w:tc>
          <w:tcPr>
            <w:tcW w:w="1135" w:type="dxa"/>
          </w:tcPr>
          <w:p w:rsidR="0020179E" w:rsidRPr="00EC03D6" w:rsidRDefault="0020179E">
            <w:r w:rsidRPr="00EC03D6">
              <w:t>11/4/14</w:t>
            </w:r>
          </w:p>
          <w:p w:rsidR="005C69BE" w:rsidRPr="00EC03D6" w:rsidRDefault="005C69BE"/>
          <w:p w:rsidR="005C69BE" w:rsidRPr="00EC03D6" w:rsidRDefault="005C69BE"/>
          <w:p w:rsidR="005C69BE" w:rsidRPr="00EC03D6" w:rsidRDefault="005C69BE"/>
          <w:p w:rsidR="005C69BE" w:rsidRPr="00EC03D6" w:rsidRDefault="005C69BE"/>
        </w:tc>
        <w:tc>
          <w:tcPr>
            <w:tcW w:w="992" w:type="dxa"/>
          </w:tcPr>
          <w:p w:rsidR="0020179E" w:rsidRPr="00EC03D6" w:rsidRDefault="0020179E">
            <w:r w:rsidRPr="00EC03D6">
              <w:t>8.10.1</w:t>
            </w:r>
          </w:p>
          <w:p w:rsidR="005C69BE" w:rsidRPr="00EC03D6" w:rsidRDefault="005C69BE"/>
          <w:p w:rsidR="005C69BE" w:rsidRPr="00EC03D6" w:rsidRDefault="005C69BE">
            <w:r w:rsidRPr="00EC03D6">
              <w:t>8.10.2</w:t>
            </w:r>
          </w:p>
        </w:tc>
        <w:tc>
          <w:tcPr>
            <w:tcW w:w="4820" w:type="dxa"/>
          </w:tcPr>
          <w:p w:rsidR="0020179E" w:rsidRPr="00EC03D6" w:rsidRDefault="0020179E" w:rsidP="005D51C3">
            <w:r w:rsidRPr="00EC03D6">
              <w:t>That the Commissioner considers how the Panel might provide help and support as he develops his plan to respond to points raised by the Crawford Review.</w:t>
            </w:r>
          </w:p>
          <w:p w:rsidR="005C69BE" w:rsidRPr="00EC03D6" w:rsidRDefault="005C69BE" w:rsidP="005D51C3">
            <w:r w:rsidRPr="00EC03D6">
              <w:t xml:space="preserve">That the Commissioner shares the implementation plan with the Panel as soon as possible </w:t>
            </w:r>
          </w:p>
        </w:tc>
        <w:tc>
          <w:tcPr>
            <w:tcW w:w="1275" w:type="dxa"/>
          </w:tcPr>
          <w:p w:rsidR="0020179E" w:rsidRPr="00EC03D6" w:rsidRDefault="0020179E">
            <w:r w:rsidRPr="00EC03D6">
              <w:t>PCC</w:t>
            </w:r>
          </w:p>
        </w:tc>
        <w:tc>
          <w:tcPr>
            <w:tcW w:w="1276" w:type="dxa"/>
          </w:tcPr>
          <w:p w:rsidR="0020179E" w:rsidRPr="00EC03D6" w:rsidRDefault="00C339AF">
            <w:r>
              <w:t>Ongoing</w:t>
            </w:r>
          </w:p>
        </w:tc>
        <w:tc>
          <w:tcPr>
            <w:tcW w:w="5245" w:type="dxa"/>
          </w:tcPr>
          <w:p w:rsidR="005C69BE" w:rsidRDefault="005C69BE">
            <w:r w:rsidRPr="00EC03D6">
              <w:t>Response from the PCC not due until September</w:t>
            </w:r>
            <w:r w:rsidR="004D7992" w:rsidRPr="00EC03D6">
              <w:t xml:space="preserve"> – report back to Panel’s November meeting</w:t>
            </w:r>
          </w:p>
          <w:p w:rsidR="00050DD7" w:rsidRPr="00C339AF" w:rsidRDefault="00050DD7">
            <w:r w:rsidRPr="00C339AF">
              <w:t xml:space="preserve">Report to the October meeting </w:t>
            </w:r>
            <w:r w:rsidR="00C339AF" w:rsidRPr="00C339AF">
              <w:t>–</w:t>
            </w:r>
            <w:r w:rsidRPr="00C339AF">
              <w:t xml:space="preserve"> Completed</w:t>
            </w:r>
          </w:p>
          <w:p w:rsidR="00C339AF" w:rsidRPr="00EC03D6" w:rsidRDefault="00C339AF">
            <w:r w:rsidRPr="00C339AF">
              <w:t>Cllr Wassell has volunteered to work with the OPCC on the Crawford Review implementation plan.  Julie Reid to contact the PCP Officers to arrange.</w:t>
            </w:r>
          </w:p>
        </w:tc>
      </w:tr>
      <w:tr w:rsidR="0020179E" w:rsidRPr="00EC03D6" w:rsidTr="000E003D">
        <w:tc>
          <w:tcPr>
            <w:tcW w:w="1135" w:type="dxa"/>
          </w:tcPr>
          <w:p w:rsidR="0020179E" w:rsidRPr="00EC03D6" w:rsidRDefault="0020179E"/>
        </w:tc>
        <w:tc>
          <w:tcPr>
            <w:tcW w:w="992" w:type="dxa"/>
          </w:tcPr>
          <w:p w:rsidR="0020179E" w:rsidRPr="00EC03D6" w:rsidRDefault="0020179E"/>
        </w:tc>
        <w:tc>
          <w:tcPr>
            <w:tcW w:w="4820" w:type="dxa"/>
          </w:tcPr>
          <w:p w:rsidR="0020179E" w:rsidRPr="00EC03D6" w:rsidRDefault="0020179E"/>
        </w:tc>
        <w:tc>
          <w:tcPr>
            <w:tcW w:w="1275" w:type="dxa"/>
          </w:tcPr>
          <w:p w:rsidR="0020179E" w:rsidRPr="00EC03D6" w:rsidRDefault="0020179E"/>
        </w:tc>
        <w:tc>
          <w:tcPr>
            <w:tcW w:w="1276" w:type="dxa"/>
          </w:tcPr>
          <w:p w:rsidR="0020179E" w:rsidRPr="00EC03D6" w:rsidRDefault="0020179E"/>
        </w:tc>
        <w:tc>
          <w:tcPr>
            <w:tcW w:w="5245" w:type="dxa"/>
          </w:tcPr>
          <w:p w:rsidR="0020179E" w:rsidRPr="00EC03D6" w:rsidRDefault="0020179E"/>
        </w:tc>
      </w:tr>
      <w:tr w:rsidR="0020179E" w:rsidRPr="00EC03D6" w:rsidTr="000E003D">
        <w:tc>
          <w:tcPr>
            <w:tcW w:w="1135" w:type="dxa"/>
          </w:tcPr>
          <w:p w:rsidR="0020179E" w:rsidRPr="00EC03D6" w:rsidRDefault="0020179E">
            <w:r w:rsidRPr="00EC03D6">
              <w:t>9/7/14</w:t>
            </w:r>
          </w:p>
        </w:tc>
        <w:tc>
          <w:tcPr>
            <w:tcW w:w="992" w:type="dxa"/>
          </w:tcPr>
          <w:p w:rsidR="0020179E" w:rsidRPr="00EC03D6" w:rsidRDefault="0020179E"/>
        </w:tc>
        <w:tc>
          <w:tcPr>
            <w:tcW w:w="4820" w:type="dxa"/>
          </w:tcPr>
          <w:p w:rsidR="0020179E" w:rsidRPr="00EC03D6" w:rsidRDefault="0020179E">
            <w:r w:rsidRPr="00EC03D6">
              <w:t xml:space="preserve">The OPCC to provide the delivery strategy and relevant delivery plans </w:t>
            </w:r>
          </w:p>
        </w:tc>
        <w:tc>
          <w:tcPr>
            <w:tcW w:w="1275" w:type="dxa"/>
          </w:tcPr>
          <w:p w:rsidR="0020179E" w:rsidRPr="00EC03D6" w:rsidRDefault="0020179E">
            <w:r w:rsidRPr="00EC03D6">
              <w:t>OPCC</w:t>
            </w:r>
          </w:p>
        </w:tc>
        <w:tc>
          <w:tcPr>
            <w:tcW w:w="1276" w:type="dxa"/>
          </w:tcPr>
          <w:p w:rsidR="0020179E" w:rsidRPr="00EC03D6" w:rsidRDefault="003D477A">
            <w:r w:rsidRPr="00EC03D6">
              <w:t>Ongoing</w:t>
            </w:r>
          </w:p>
        </w:tc>
        <w:tc>
          <w:tcPr>
            <w:tcW w:w="5245" w:type="dxa"/>
          </w:tcPr>
          <w:p w:rsidR="0020179E" w:rsidRPr="00EC03D6" w:rsidRDefault="004D7992">
            <w:r w:rsidRPr="00EC03D6">
              <w:t>Draft Delivery Strategy was out for consultation in August.  Delivery Plans still awaited.</w:t>
            </w:r>
          </w:p>
          <w:p w:rsidR="004D7992" w:rsidRPr="00EC03D6" w:rsidRDefault="004D7992" w:rsidP="004D7992">
            <w:r w:rsidRPr="00EC03D6">
              <w:t>Report on the agenda for September meeting</w:t>
            </w:r>
            <w:r w:rsidR="003D477A" w:rsidRPr="00EC03D6">
              <w:t>.</w:t>
            </w:r>
          </w:p>
          <w:p w:rsidR="003D477A" w:rsidRPr="00EC03D6" w:rsidRDefault="00C339AF" w:rsidP="003D477A">
            <w:r>
              <w:t>Jo Sykes and Masood Ahmed lead Panel Members on PCC Delivery Group.</w:t>
            </w:r>
          </w:p>
        </w:tc>
      </w:tr>
      <w:tr w:rsidR="0020179E" w:rsidRPr="00EC03D6" w:rsidTr="000E003D">
        <w:tc>
          <w:tcPr>
            <w:tcW w:w="1135" w:type="dxa"/>
          </w:tcPr>
          <w:p w:rsidR="0020179E" w:rsidRPr="00EC03D6" w:rsidRDefault="0020179E"/>
        </w:tc>
        <w:tc>
          <w:tcPr>
            <w:tcW w:w="992" w:type="dxa"/>
          </w:tcPr>
          <w:p w:rsidR="0020179E" w:rsidRPr="00EC03D6" w:rsidRDefault="0020179E"/>
        </w:tc>
        <w:tc>
          <w:tcPr>
            <w:tcW w:w="4820" w:type="dxa"/>
          </w:tcPr>
          <w:p w:rsidR="0020179E" w:rsidRPr="00EC03D6" w:rsidRDefault="0020179E"/>
        </w:tc>
        <w:tc>
          <w:tcPr>
            <w:tcW w:w="1275" w:type="dxa"/>
          </w:tcPr>
          <w:p w:rsidR="0020179E" w:rsidRPr="00EC03D6" w:rsidRDefault="0020179E"/>
        </w:tc>
        <w:tc>
          <w:tcPr>
            <w:tcW w:w="1276" w:type="dxa"/>
          </w:tcPr>
          <w:p w:rsidR="0020179E" w:rsidRPr="00EC03D6" w:rsidRDefault="0020179E"/>
        </w:tc>
        <w:tc>
          <w:tcPr>
            <w:tcW w:w="5245" w:type="dxa"/>
          </w:tcPr>
          <w:p w:rsidR="0020179E" w:rsidRPr="00EC03D6" w:rsidRDefault="0020179E"/>
        </w:tc>
      </w:tr>
      <w:tr w:rsidR="0020179E" w:rsidRPr="00EC03D6" w:rsidTr="000E003D">
        <w:tc>
          <w:tcPr>
            <w:tcW w:w="1135" w:type="dxa"/>
          </w:tcPr>
          <w:p w:rsidR="0020179E" w:rsidRPr="00C502DB" w:rsidRDefault="0020179E">
            <w:r w:rsidRPr="00C502DB">
              <w:t>18/7/14</w:t>
            </w:r>
          </w:p>
        </w:tc>
        <w:tc>
          <w:tcPr>
            <w:tcW w:w="992" w:type="dxa"/>
          </w:tcPr>
          <w:p w:rsidR="0020179E" w:rsidRPr="00C502DB" w:rsidRDefault="00C502DB">
            <w:r w:rsidRPr="00C502DB">
              <w:t>8.5</w:t>
            </w:r>
          </w:p>
        </w:tc>
        <w:tc>
          <w:tcPr>
            <w:tcW w:w="4820" w:type="dxa"/>
          </w:tcPr>
          <w:p w:rsidR="0020179E" w:rsidRPr="00C502DB" w:rsidRDefault="0020179E">
            <w:pPr>
              <w:rPr>
                <w:rFonts w:eastAsiaTheme="minorHAnsi"/>
              </w:rPr>
            </w:pPr>
            <w:r w:rsidRPr="00C502DB">
              <w:t>The Commissioner agreed to look at how Panel members might be involved in the review of the Divisional Resourcing model.</w:t>
            </w:r>
          </w:p>
        </w:tc>
        <w:tc>
          <w:tcPr>
            <w:tcW w:w="1275" w:type="dxa"/>
          </w:tcPr>
          <w:p w:rsidR="0020179E" w:rsidRPr="00C502DB" w:rsidRDefault="0020179E">
            <w:r w:rsidRPr="00C502DB">
              <w:t>PCC</w:t>
            </w:r>
          </w:p>
        </w:tc>
        <w:tc>
          <w:tcPr>
            <w:tcW w:w="1276" w:type="dxa"/>
          </w:tcPr>
          <w:p w:rsidR="0020179E" w:rsidRPr="00C502DB" w:rsidRDefault="007E1317">
            <w:r>
              <w:t>7 Nov 14</w:t>
            </w:r>
          </w:p>
        </w:tc>
        <w:tc>
          <w:tcPr>
            <w:tcW w:w="5245" w:type="dxa"/>
          </w:tcPr>
          <w:p w:rsidR="0020179E" w:rsidRPr="00C502DB" w:rsidRDefault="0020179E">
            <w:r w:rsidRPr="00C502DB">
              <w:t>Understanding was that the PCC had agreed to supply information on allocation of resources. Awaiting information from WYP.</w:t>
            </w:r>
          </w:p>
          <w:p w:rsidR="0018309C" w:rsidRPr="007E1317" w:rsidRDefault="0018309C">
            <w:r w:rsidRPr="007E1317">
              <w:t>Requested officer deployment numbers</w:t>
            </w:r>
            <w:r w:rsidR="00C502DB" w:rsidRPr="007E1317">
              <w:t>.</w:t>
            </w:r>
          </w:p>
          <w:p w:rsidR="00C502DB" w:rsidRPr="00C502DB" w:rsidRDefault="007E1317">
            <w:r>
              <w:t>OPCC to confirm status of the review.</w:t>
            </w:r>
          </w:p>
        </w:tc>
      </w:tr>
      <w:tr w:rsidR="000E003D" w:rsidRPr="00EC03D6" w:rsidTr="000E003D">
        <w:tc>
          <w:tcPr>
            <w:tcW w:w="1135" w:type="dxa"/>
          </w:tcPr>
          <w:p w:rsidR="000E003D" w:rsidRPr="00EC03D6" w:rsidRDefault="000E003D"/>
        </w:tc>
        <w:tc>
          <w:tcPr>
            <w:tcW w:w="992" w:type="dxa"/>
          </w:tcPr>
          <w:p w:rsidR="000E003D" w:rsidRPr="00EC03D6" w:rsidRDefault="000E003D"/>
        </w:tc>
        <w:tc>
          <w:tcPr>
            <w:tcW w:w="4820" w:type="dxa"/>
          </w:tcPr>
          <w:p w:rsidR="000E003D" w:rsidRPr="00EC03D6" w:rsidRDefault="000E003D" w:rsidP="00655D65"/>
        </w:tc>
        <w:tc>
          <w:tcPr>
            <w:tcW w:w="1275" w:type="dxa"/>
          </w:tcPr>
          <w:p w:rsidR="000E003D" w:rsidRPr="00EC03D6" w:rsidRDefault="000E003D"/>
        </w:tc>
        <w:tc>
          <w:tcPr>
            <w:tcW w:w="1276" w:type="dxa"/>
          </w:tcPr>
          <w:p w:rsidR="000E003D" w:rsidRPr="00EC03D6" w:rsidRDefault="000E003D"/>
        </w:tc>
        <w:tc>
          <w:tcPr>
            <w:tcW w:w="5245" w:type="dxa"/>
          </w:tcPr>
          <w:p w:rsidR="000E003D" w:rsidRPr="00EC03D6" w:rsidRDefault="000E003D"/>
        </w:tc>
      </w:tr>
      <w:tr w:rsidR="0020179E" w:rsidRPr="00EC03D6" w:rsidTr="000E003D">
        <w:tc>
          <w:tcPr>
            <w:tcW w:w="1135" w:type="dxa"/>
          </w:tcPr>
          <w:p w:rsidR="0020179E" w:rsidRPr="00EC03D6" w:rsidRDefault="000E003D">
            <w:r w:rsidRPr="00EC03D6">
              <w:t>12/9/12</w:t>
            </w:r>
          </w:p>
        </w:tc>
        <w:tc>
          <w:tcPr>
            <w:tcW w:w="992" w:type="dxa"/>
          </w:tcPr>
          <w:p w:rsidR="0020179E" w:rsidRPr="00EC03D6" w:rsidRDefault="000E003D">
            <w:r w:rsidRPr="00EC03D6">
              <w:t>6.12.1</w:t>
            </w:r>
          </w:p>
        </w:tc>
        <w:tc>
          <w:tcPr>
            <w:tcW w:w="4820" w:type="dxa"/>
          </w:tcPr>
          <w:p w:rsidR="0020179E" w:rsidRPr="00EC03D6" w:rsidRDefault="000E003D" w:rsidP="00655D65">
            <w:r w:rsidRPr="00EC03D6">
              <w:t xml:space="preserve">That the Commissioner provide </w:t>
            </w:r>
            <w:r w:rsidRPr="00EC03D6">
              <w:rPr>
                <w:bCs/>
              </w:rPr>
              <w:t>information on the progress of Special Constable recruitment and how successful it has been in attracting people from a BME background.</w:t>
            </w:r>
          </w:p>
        </w:tc>
        <w:tc>
          <w:tcPr>
            <w:tcW w:w="1275" w:type="dxa"/>
          </w:tcPr>
          <w:p w:rsidR="0020179E" w:rsidRPr="00EC03D6" w:rsidRDefault="000E003D">
            <w:r w:rsidRPr="00EC03D6">
              <w:t>PCC</w:t>
            </w:r>
          </w:p>
        </w:tc>
        <w:tc>
          <w:tcPr>
            <w:tcW w:w="1276" w:type="dxa"/>
          </w:tcPr>
          <w:p w:rsidR="0020179E" w:rsidRPr="00EC03D6" w:rsidRDefault="00C339AF">
            <w:r>
              <w:t>12 Dec 14</w:t>
            </w:r>
          </w:p>
        </w:tc>
        <w:tc>
          <w:tcPr>
            <w:tcW w:w="5245" w:type="dxa"/>
          </w:tcPr>
          <w:p w:rsidR="00050DD7" w:rsidRPr="00C339AF" w:rsidRDefault="00C502DB" w:rsidP="00050DD7">
            <w:pPr>
              <w:pStyle w:val="Body"/>
              <w:rPr>
                <w:rFonts w:asciiTheme="minorHAnsi" w:hAnsiTheme="minorHAnsi" w:cstheme="minorHAnsi"/>
                <w:color w:val="auto"/>
              </w:rPr>
            </w:pPr>
            <w:r>
              <w:rPr>
                <w:rFonts w:asciiTheme="minorHAnsi" w:hAnsiTheme="minorHAnsi" w:cstheme="minorHAnsi"/>
                <w:bCs/>
                <w:color w:val="auto"/>
              </w:rPr>
              <w:t xml:space="preserve">The PCC </w:t>
            </w:r>
            <w:r w:rsidR="00050DD7" w:rsidRPr="00C339AF">
              <w:rPr>
                <w:rFonts w:asciiTheme="minorHAnsi" w:hAnsiTheme="minorHAnsi" w:cstheme="minorHAnsi"/>
                <w:bCs/>
                <w:color w:val="auto"/>
              </w:rPr>
              <w:t>has asked the Force for a quarterly report to be brought to future Community Outcome meetings on the recruitment of Volunteers and Special Constables. This report will also include the breakdown of recruits by different protected characteristics. The first report is not expected until late November. Will share this with members of the Police and Crime Panel following the meeting.</w:t>
            </w:r>
          </w:p>
          <w:p w:rsidR="0020179E" w:rsidRPr="00EC03D6" w:rsidRDefault="0020179E" w:rsidP="00F814FA"/>
        </w:tc>
      </w:tr>
      <w:tr w:rsidR="00F8613F" w:rsidRPr="00EC03D6" w:rsidTr="000E003D">
        <w:tc>
          <w:tcPr>
            <w:tcW w:w="1135" w:type="dxa"/>
          </w:tcPr>
          <w:p w:rsidR="00F8613F" w:rsidRPr="00EC03D6" w:rsidRDefault="00F8613F"/>
        </w:tc>
        <w:tc>
          <w:tcPr>
            <w:tcW w:w="992" w:type="dxa"/>
          </w:tcPr>
          <w:p w:rsidR="00F8613F" w:rsidRPr="00EC03D6" w:rsidRDefault="00F8613F"/>
        </w:tc>
        <w:tc>
          <w:tcPr>
            <w:tcW w:w="4820" w:type="dxa"/>
          </w:tcPr>
          <w:p w:rsidR="00F8613F" w:rsidRPr="00EC03D6" w:rsidRDefault="00F8613F" w:rsidP="00F814FA"/>
        </w:tc>
        <w:tc>
          <w:tcPr>
            <w:tcW w:w="1275" w:type="dxa"/>
          </w:tcPr>
          <w:p w:rsidR="00F8613F" w:rsidRPr="00EC03D6" w:rsidRDefault="00F8613F"/>
        </w:tc>
        <w:tc>
          <w:tcPr>
            <w:tcW w:w="1276" w:type="dxa"/>
          </w:tcPr>
          <w:p w:rsidR="00F8613F" w:rsidRPr="00EC03D6" w:rsidRDefault="00F8613F"/>
        </w:tc>
        <w:tc>
          <w:tcPr>
            <w:tcW w:w="5245" w:type="dxa"/>
          </w:tcPr>
          <w:p w:rsidR="00F8613F" w:rsidRPr="00EC03D6" w:rsidRDefault="00F8613F" w:rsidP="00F814FA"/>
        </w:tc>
      </w:tr>
      <w:tr w:rsidR="0020179E" w:rsidRPr="00EC03D6" w:rsidTr="000E003D">
        <w:tc>
          <w:tcPr>
            <w:tcW w:w="1135" w:type="dxa"/>
          </w:tcPr>
          <w:p w:rsidR="0020179E" w:rsidRPr="00EC03D6" w:rsidRDefault="00F814FA">
            <w:r w:rsidRPr="00EC03D6">
              <w:t>12/9/14</w:t>
            </w:r>
          </w:p>
        </w:tc>
        <w:tc>
          <w:tcPr>
            <w:tcW w:w="992" w:type="dxa"/>
          </w:tcPr>
          <w:p w:rsidR="0020179E" w:rsidRPr="00EC03D6" w:rsidRDefault="00F814FA">
            <w:r w:rsidRPr="00EC03D6">
              <w:t>6.12.3</w:t>
            </w:r>
          </w:p>
        </w:tc>
        <w:tc>
          <w:tcPr>
            <w:tcW w:w="4820" w:type="dxa"/>
          </w:tcPr>
          <w:p w:rsidR="0020179E" w:rsidRPr="00EC03D6" w:rsidRDefault="00F814FA" w:rsidP="00F814FA">
            <w:r w:rsidRPr="00EC03D6">
              <w:t>That the Commissioner brings a more detailed budget report to the Panel’s November meeting, following the budget seminar on 30</w:t>
            </w:r>
            <w:r w:rsidRPr="00EC03D6">
              <w:rPr>
                <w:vertAlign w:val="superscript"/>
              </w:rPr>
              <w:t>th</w:t>
            </w:r>
            <w:r w:rsidRPr="00EC03D6">
              <w:t xml:space="preserve"> September</w:t>
            </w:r>
          </w:p>
        </w:tc>
        <w:tc>
          <w:tcPr>
            <w:tcW w:w="1275" w:type="dxa"/>
          </w:tcPr>
          <w:p w:rsidR="0020179E" w:rsidRPr="00EC03D6" w:rsidRDefault="00F814FA">
            <w:r w:rsidRPr="00EC03D6">
              <w:t>PCC</w:t>
            </w:r>
          </w:p>
        </w:tc>
        <w:tc>
          <w:tcPr>
            <w:tcW w:w="1276" w:type="dxa"/>
          </w:tcPr>
          <w:p w:rsidR="0020179E" w:rsidRPr="00EC03D6" w:rsidRDefault="00F814FA">
            <w:r w:rsidRPr="00EC03D6">
              <w:t>7 Nov 14</w:t>
            </w:r>
          </w:p>
        </w:tc>
        <w:tc>
          <w:tcPr>
            <w:tcW w:w="5245" w:type="dxa"/>
          </w:tcPr>
          <w:p w:rsidR="0020179E" w:rsidRDefault="00F814FA" w:rsidP="00F814FA">
            <w:r w:rsidRPr="00EC03D6">
              <w:t>Budget report with consideration to be given to additional funding for CSE strategies</w:t>
            </w:r>
            <w:r w:rsidR="00EC03D6">
              <w:t>.</w:t>
            </w:r>
          </w:p>
          <w:p w:rsidR="006C3352" w:rsidRPr="00C339AF" w:rsidRDefault="0018309C" w:rsidP="00F814FA">
            <w:r w:rsidRPr="00C339AF">
              <w:t>CSE</w:t>
            </w:r>
            <w:r w:rsidR="00A47C4A" w:rsidRPr="00C339AF">
              <w:t xml:space="preserve"> </w:t>
            </w:r>
            <w:r w:rsidR="00C339AF" w:rsidRPr="00C339AF">
              <w:t>will</w:t>
            </w:r>
            <w:r w:rsidR="00A47C4A" w:rsidRPr="00C339AF">
              <w:t xml:space="preserve"> form part of the Precept Report to the meeting in Feb 2015.</w:t>
            </w:r>
          </w:p>
          <w:p w:rsidR="00085E14" w:rsidRPr="00EC03D6" w:rsidRDefault="00085E14" w:rsidP="00F814FA"/>
        </w:tc>
      </w:tr>
      <w:tr w:rsidR="00F8613F" w:rsidRPr="00EC03D6" w:rsidTr="000E003D">
        <w:tc>
          <w:tcPr>
            <w:tcW w:w="1135" w:type="dxa"/>
          </w:tcPr>
          <w:p w:rsidR="00F8613F" w:rsidRPr="00EC03D6" w:rsidRDefault="00F8613F"/>
        </w:tc>
        <w:tc>
          <w:tcPr>
            <w:tcW w:w="992" w:type="dxa"/>
          </w:tcPr>
          <w:p w:rsidR="00F8613F" w:rsidRPr="00EC03D6" w:rsidRDefault="00F8613F"/>
        </w:tc>
        <w:tc>
          <w:tcPr>
            <w:tcW w:w="4820" w:type="dxa"/>
          </w:tcPr>
          <w:p w:rsidR="00F8613F" w:rsidRPr="00EC03D6" w:rsidRDefault="00F8613F" w:rsidP="00655D65"/>
        </w:tc>
        <w:tc>
          <w:tcPr>
            <w:tcW w:w="1275" w:type="dxa"/>
          </w:tcPr>
          <w:p w:rsidR="00F8613F" w:rsidRPr="00EC03D6" w:rsidRDefault="00F8613F"/>
        </w:tc>
        <w:tc>
          <w:tcPr>
            <w:tcW w:w="1276" w:type="dxa"/>
          </w:tcPr>
          <w:p w:rsidR="00F8613F" w:rsidRPr="00EC03D6" w:rsidRDefault="00F8613F"/>
        </w:tc>
        <w:tc>
          <w:tcPr>
            <w:tcW w:w="5245" w:type="dxa"/>
          </w:tcPr>
          <w:p w:rsidR="00F8613F" w:rsidRPr="00EC03D6" w:rsidRDefault="00F8613F"/>
        </w:tc>
      </w:tr>
      <w:tr w:rsidR="0020179E" w:rsidRPr="00EC03D6" w:rsidTr="000E003D">
        <w:tc>
          <w:tcPr>
            <w:tcW w:w="1135" w:type="dxa"/>
          </w:tcPr>
          <w:p w:rsidR="0020179E" w:rsidRPr="00EC03D6" w:rsidRDefault="00F8613F">
            <w:r w:rsidRPr="00EC03D6">
              <w:t>12/9/14</w:t>
            </w:r>
          </w:p>
        </w:tc>
        <w:tc>
          <w:tcPr>
            <w:tcW w:w="992" w:type="dxa"/>
          </w:tcPr>
          <w:p w:rsidR="0020179E" w:rsidRPr="00EC03D6" w:rsidRDefault="00F8613F">
            <w:r w:rsidRPr="00EC03D6">
              <w:t>8.6.2</w:t>
            </w:r>
          </w:p>
        </w:tc>
        <w:tc>
          <w:tcPr>
            <w:tcW w:w="4820" w:type="dxa"/>
          </w:tcPr>
          <w:p w:rsidR="0020179E" w:rsidRPr="00EC03D6" w:rsidRDefault="00F8613F" w:rsidP="00655D65">
            <w:r w:rsidRPr="00EC03D6">
              <w:t>Report on progress on Victims Services to a future meeting</w:t>
            </w:r>
          </w:p>
        </w:tc>
        <w:tc>
          <w:tcPr>
            <w:tcW w:w="1275" w:type="dxa"/>
          </w:tcPr>
          <w:p w:rsidR="0020179E" w:rsidRPr="00EC03D6" w:rsidRDefault="00F8613F">
            <w:r w:rsidRPr="00EC03D6">
              <w:t>PCC</w:t>
            </w:r>
          </w:p>
        </w:tc>
        <w:tc>
          <w:tcPr>
            <w:tcW w:w="1276" w:type="dxa"/>
          </w:tcPr>
          <w:p w:rsidR="0020179E" w:rsidRDefault="00C339AF">
            <w:r>
              <w:t>7 Nov 14</w:t>
            </w:r>
          </w:p>
          <w:p w:rsidR="00C339AF" w:rsidRPr="00EC03D6" w:rsidRDefault="00C339AF"/>
        </w:tc>
        <w:tc>
          <w:tcPr>
            <w:tcW w:w="5245" w:type="dxa"/>
          </w:tcPr>
          <w:p w:rsidR="00F8613F" w:rsidRDefault="00F8613F">
            <w:r w:rsidRPr="00EC03D6">
              <w:t>Arose from discussion around the Delivery Plan.  To include figures of the committed funding allocations.</w:t>
            </w:r>
          </w:p>
          <w:p w:rsidR="00A47C4A" w:rsidRPr="00EC03D6" w:rsidRDefault="00A47C4A"/>
        </w:tc>
      </w:tr>
      <w:tr w:rsidR="0020179E" w:rsidRPr="00EC03D6" w:rsidTr="000E003D">
        <w:tc>
          <w:tcPr>
            <w:tcW w:w="1135" w:type="dxa"/>
          </w:tcPr>
          <w:p w:rsidR="0020179E" w:rsidRPr="00EC03D6" w:rsidRDefault="0020179E"/>
        </w:tc>
        <w:tc>
          <w:tcPr>
            <w:tcW w:w="992" w:type="dxa"/>
          </w:tcPr>
          <w:p w:rsidR="0020179E" w:rsidRPr="00EC03D6" w:rsidRDefault="0020179E"/>
        </w:tc>
        <w:tc>
          <w:tcPr>
            <w:tcW w:w="4820" w:type="dxa"/>
          </w:tcPr>
          <w:p w:rsidR="0020179E" w:rsidRPr="00EC03D6" w:rsidRDefault="0020179E" w:rsidP="009862A1"/>
        </w:tc>
        <w:tc>
          <w:tcPr>
            <w:tcW w:w="1275" w:type="dxa"/>
          </w:tcPr>
          <w:p w:rsidR="0020179E" w:rsidRPr="00EC03D6" w:rsidRDefault="0020179E"/>
        </w:tc>
        <w:tc>
          <w:tcPr>
            <w:tcW w:w="1276" w:type="dxa"/>
          </w:tcPr>
          <w:p w:rsidR="0020179E" w:rsidRPr="00EC03D6" w:rsidRDefault="0020179E"/>
        </w:tc>
        <w:tc>
          <w:tcPr>
            <w:tcW w:w="5245" w:type="dxa"/>
          </w:tcPr>
          <w:p w:rsidR="0020179E" w:rsidRPr="00EC03D6" w:rsidRDefault="0020179E"/>
        </w:tc>
      </w:tr>
      <w:tr w:rsidR="00F814FA" w:rsidRPr="00EC03D6" w:rsidTr="000E003D">
        <w:tc>
          <w:tcPr>
            <w:tcW w:w="1135" w:type="dxa"/>
          </w:tcPr>
          <w:p w:rsidR="00F814FA" w:rsidRPr="00EC03D6" w:rsidRDefault="00651D5C">
            <w:r w:rsidRPr="00EC03D6">
              <w:t>12/9/14</w:t>
            </w:r>
          </w:p>
        </w:tc>
        <w:tc>
          <w:tcPr>
            <w:tcW w:w="992" w:type="dxa"/>
          </w:tcPr>
          <w:p w:rsidR="00F814FA" w:rsidRPr="00EC03D6" w:rsidRDefault="00651D5C">
            <w:r w:rsidRPr="00EC03D6">
              <w:t>9.6.2</w:t>
            </w:r>
          </w:p>
        </w:tc>
        <w:tc>
          <w:tcPr>
            <w:tcW w:w="4820" w:type="dxa"/>
          </w:tcPr>
          <w:p w:rsidR="00F814FA" w:rsidRPr="00EC03D6" w:rsidRDefault="00651D5C" w:rsidP="009862A1">
            <w:r w:rsidRPr="00EC03D6">
              <w:t xml:space="preserve">That the Commissioner provides an update on the progress made against the recommendations made in the Police Authority report in 2012 with particular reference to BME user satisfaction.  </w:t>
            </w:r>
          </w:p>
        </w:tc>
        <w:tc>
          <w:tcPr>
            <w:tcW w:w="1275" w:type="dxa"/>
          </w:tcPr>
          <w:p w:rsidR="00F814FA" w:rsidRPr="00EC03D6" w:rsidRDefault="00651D5C">
            <w:r w:rsidRPr="00EC03D6">
              <w:t>PCC</w:t>
            </w:r>
          </w:p>
        </w:tc>
        <w:tc>
          <w:tcPr>
            <w:tcW w:w="1276" w:type="dxa"/>
          </w:tcPr>
          <w:p w:rsidR="00F814FA" w:rsidRPr="00EC03D6" w:rsidRDefault="00C339AF">
            <w:r>
              <w:t>12 Dec 14</w:t>
            </w:r>
          </w:p>
        </w:tc>
        <w:tc>
          <w:tcPr>
            <w:tcW w:w="5245" w:type="dxa"/>
          </w:tcPr>
          <w:p w:rsidR="00F814FA" w:rsidRDefault="00651D5C">
            <w:r w:rsidRPr="00EC03D6">
              <w:t>Refers to the recommendations within the Police Authority legacy report.</w:t>
            </w:r>
          </w:p>
          <w:p w:rsidR="00E85AD3" w:rsidRPr="00EC03D6" w:rsidRDefault="00C339AF">
            <w:r>
              <w:t xml:space="preserve">On Community Outcomes meeting agenda at end of November.  </w:t>
            </w:r>
          </w:p>
        </w:tc>
      </w:tr>
      <w:tr w:rsidR="00F814FA" w:rsidRPr="00EC03D6" w:rsidTr="000E003D">
        <w:tc>
          <w:tcPr>
            <w:tcW w:w="1135" w:type="dxa"/>
          </w:tcPr>
          <w:p w:rsidR="00F814FA" w:rsidRPr="00EC03D6" w:rsidRDefault="00F814FA"/>
        </w:tc>
        <w:tc>
          <w:tcPr>
            <w:tcW w:w="992" w:type="dxa"/>
          </w:tcPr>
          <w:p w:rsidR="00F814FA" w:rsidRPr="00EC03D6" w:rsidRDefault="00F814FA"/>
        </w:tc>
        <w:tc>
          <w:tcPr>
            <w:tcW w:w="4820" w:type="dxa"/>
          </w:tcPr>
          <w:p w:rsidR="00F814FA" w:rsidRPr="00EC03D6" w:rsidRDefault="00F814FA" w:rsidP="009862A1"/>
        </w:tc>
        <w:tc>
          <w:tcPr>
            <w:tcW w:w="1275" w:type="dxa"/>
          </w:tcPr>
          <w:p w:rsidR="00F814FA" w:rsidRPr="00EC03D6" w:rsidRDefault="00F814FA"/>
        </w:tc>
        <w:tc>
          <w:tcPr>
            <w:tcW w:w="1276" w:type="dxa"/>
          </w:tcPr>
          <w:p w:rsidR="00F814FA" w:rsidRPr="00EC03D6" w:rsidRDefault="00F814FA"/>
        </w:tc>
        <w:tc>
          <w:tcPr>
            <w:tcW w:w="5245" w:type="dxa"/>
          </w:tcPr>
          <w:p w:rsidR="00F814FA" w:rsidRPr="00EC03D6" w:rsidRDefault="00F814FA"/>
        </w:tc>
      </w:tr>
      <w:tr w:rsidR="00F8613F" w:rsidRPr="00EC03D6" w:rsidTr="000E003D">
        <w:tc>
          <w:tcPr>
            <w:tcW w:w="1135" w:type="dxa"/>
          </w:tcPr>
          <w:p w:rsidR="00F8613F" w:rsidRPr="00EC03D6" w:rsidRDefault="0006585C">
            <w:r w:rsidRPr="00EC03D6">
              <w:t>12/9/14</w:t>
            </w:r>
          </w:p>
        </w:tc>
        <w:tc>
          <w:tcPr>
            <w:tcW w:w="992" w:type="dxa"/>
          </w:tcPr>
          <w:p w:rsidR="00F8613F" w:rsidRPr="00EC03D6" w:rsidRDefault="00741DF6">
            <w:r w:rsidRPr="00EC03D6">
              <w:t>9.6.3</w:t>
            </w:r>
          </w:p>
        </w:tc>
        <w:tc>
          <w:tcPr>
            <w:tcW w:w="4820" w:type="dxa"/>
          </w:tcPr>
          <w:p w:rsidR="00F8613F" w:rsidRPr="00EC03D6" w:rsidRDefault="00741DF6" w:rsidP="009862A1">
            <w:r w:rsidRPr="00EC03D6">
              <w:t xml:space="preserve">That Panel </w:t>
            </w:r>
            <w:proofErr w:type="gramStart"/>
            <w:r w:rsidRPr="00EC03D6">
              <w:t>be</w:t>
            </w:r>
            <w:proofErr w:type="gramEnd"/>
            <w:r w:rsidRPr="00EC03D6">
              <w:t xml:space="preserve"> invited to be involved in any further research undertaken around BME user satisfaction.</w:t>
            </w:r>
          </w:p>
        </w:tc>
        <w:tc>
          <w:tcPr>
            <w:tcW w:w="1275" w:type="dxa"/>
          </w:tcPr>
          <w:p w:rsidR="00F8613F" w:rsidRPr="00EC03D6" w:rsidRDefault="00741DF6">
            <w:r w:rsidRPr="00EC03D6">
              <w:t>PCC / Panel</w:t>
            </w:r>
          </w:p>
        </w:tc>
        <w:tc>
          <w:tcPr>
            <w:tcW w:w="1276" w:type="dxa"/>
          </w:tcPr>
          <w:p w:rsidR="00F8613F" w:rsidRPr="00EC03D6" w:rsidRDefault="007E1317">
            <w:r>
              <w:t>12 Dec 14</w:t>
            </w:r>
          </w:p>
        </w:tc>
        <w:tc>
          <w:tcPr>
            <w:tcW w:w="5245" w:type="dxa"/>
          </w:tcPr>
          <w:p w:rsidR="00F8613F" w:rsidRPr="00EC03D6" w:rsidRDefault="00741DF6">
            <w:r w:rsidRPr="00EC03D6">
              <w:t>PCC suggested the possibility of dip sampling.</w:t>
            </w:r>
            <w:r w:rsidR="00EC03D6">
              <w:t xml:space="preserve">  </w:t>
            </w:r>
            <w:r w:rsidR="00C339AF">
              <w:t>To be discussed following report to Panel in December 14.</w:t>
            </w:r>
          </w:p>
        </w:tc>
      </w:tr>
      <w:tr w:rsidR="00F8613F" w:rsidRPr="00EC03D6" w:rsidTr="000E003D">
        <w:tc>
          <w:tcPr>
            <w:tcW w:w="1135" w:type="dxa"/>
          </w:tcPr>
          <w:p w:rsidR="00F8613F" w:rsidRPr="00EC03D6" w:rsidRDefault="00F8613F"/>
        </w:tc>
        <w:tc>
          <w:tcPr>
            <w:tcW w:w="992" w:type="dxa"/>
          </w:tcPr>
          <w:p w:rsidR="00F8613F" w:rsidRPr="00EC03D6" w:rsidRDefault="00F8613F"/>
        </w:tc>
        <w:tc>
          <w:tcPr>
            <w:tcW w:w="4820" w:type="dxa"/>
          </w:tcPr>
          <w:p w:rsidR="00F8613F" w:rsidRPr="00EC03D6" w:rsidRDefault="00F8613F" w:rsidP="009862A1"/>
        </w:tc>
        <w:tc>
          <w:tcPr>
            <w:tcW w:w="1275" w:type="dxa"/>
          </w:tcPr>
          <w:p w:rsidR="00F8613F" w:rsidRPr="00EC03D6" w:rsidRDefault="00F8613F"/>
        </w:tc>
        <w:tc>
          <w:tcPr>
            <w:tcW w:w="1276" w:type="dxa"/>
          </w:tcPr>
          <w:p w:rsidR="00F8613F" w:rsidRPr="00EC03D6" w:rsidRDefault="00F8613F"/>
        </w:tc>
        <w:tc>
          <w:tcPr>
            <w:tcW w:w="5245" w:type="dxa"/>
          </w:tcPr>
          <w:p w:rsidR="00F8613F" w:rsidRPr="00EC03D6" w:rsidRDefault="00F8613F"/>
        </w:tc>
      </w:tr>
      <w:tr w:rsidR="00651D5C" w:rsidRPr="00EC03D6" w:rsidTr="000E003D">
        <w:tc>
          <w:tcPr>
            <w:tcW w:w="1135" w:type="dxa"/>
          </w:tcPr>
          <w:p w:rsidR="00651D5C" w:rsidRPr="00EC03D6" w:rsidRDefault="00741DF6">
            <w:r w:rsidRPr="00EC03D6">
              <w:t>12/9/14</w:t>
            </w:r>
          </w:p>
        </w:tc>
        <w:tc>
          <w:tcPr>
            <w:tcW w:w="992" w:type="dxa"/>
          </w:tcPr>
          <w:p w:rsidR="00651D5C" w:rsidRPr="00EC03D6" w:rsidRDefault="00741DF6">
            <w:r w:rsidRPr="00EC03D6">
              <w:t>9.6.4</w:t>
            </w:r>
          </w:p>
        </w:tc>
        <w:tc>
          <w:tcPr>
            <w:tcW w:w="4820" w:type="dxa"/>
          </w:tcPr>
          <w:p w:rsidR="00651D5C" w:rsidRPr="00EC03D6" w:rsidRDefault="00741DF6" w:rsidP="009862A1">
            <w:r w:rsidRPr="00EC03D6">
              <w:t>That the Commissioner provides a breakdown of ASB victim satisfaction by District.</w:t>
            </w:r>
          </w:p>
        </w:tc>
        <w:tc>
          <w:tcPr>
            <w:tcW w:w="1275" w:type="dxa"/>
          </w:tcPr>
          <w:p w:rsidR="00651D5C" w:rsidRPr="00EC03D6" w:rsidRDefault="00741DF6">
            <w:r w:rsidRPr="00EC03D6">
              <w:t>PCC</w:t>
            </w:r>
          </w:p>
        </w:tc>
        <w:tc>
          <w:tcPr>
            <w:tcW w:w="1276" w:type="dxa"/>
          </w:tcPr>
          <w:p w:rsidR="00651D5C" w:rsidRPr="00EC03D6" w:rsidRDefault="008C6132">
            <w:r>
              <w:t>asap</w:t>
            </w:r>
          </w:p>
        </w:tc>
        <w:tc>
          <w:tcPr>
            <w:tcW w:w="5245" w:type="dxa"/>
          </w:tcPr>
          <w:p w:rsidR="00651D5C" w:rsidRPr="00C339AF" w:rsidRDefault="00741DF6">
            <w:r w:rsidRPr="00C339AF">
              <w:t>To be emailed to Panel as soon as possible and to be included in future performance reports.</w:t>
            </w:r>
          </w:p>
          <w:p w:rsidR="00522322" w:rsidRDefault="00522322"/>
          <w:p w:rsidR="00E85AD3" w:rsidRPr="00C339AF" w:rsidRDefault="00C339AF">
            <w:r w:rsidRPr="00C339AF">
              <w:t>Emailed to Panel 2</w:t>
            </w:r>
            <w:r w:rsidR="00522322">
              <w:t>4</w:t>
            </w:r>
            <w:r w:rsidRPr="00C339AF">
              <w:t xml:space="preserve"> October - completed</w:t>
            </w:r>
          </w:p>
          <w:p w:rsidR="00DB3EC1" w:rsidRPr="00C339AF" w:rsidRDefault="00DB3EC1"/>
        </w:tc>
      </w:tr>
      <w:tr w:rsidR="00651D5C" w:rsidRPr="00EC03D6" w:rsidTr="000E003D">
        <w:tc>
          <w:tcPr>
            <w:tcW w:w="1135" w:type="dxa"/>
          </w:tcPr>
          <w:p w:rsidR="00651D5C" w:rsidRPr="00EC03D6" w:rsidRDefault="00651D5C"/>
        </w:tc>
        <w:tc>
          <w:tcPr>
            <w:tcW w:w="992" w:type="dxa"/>
          </w:tcPr>
          <w:p w:rsidR="00651D5C" w:rsidRPr="00EC03D6" w:rsidRDefault="00651D5C"/>
        </w:tc>
        <w:tc>
          <w:tcPr>
            <w:tcW w:w="4820" w:type="dxa"/>
          </w:tcPr>
          <w:p w:rsidR="00651D5C" w:rsidRPr="00EC03D6" w:rsidRDefault="00651D5C" w:rsidP="009862A1"/>
        </w:tc>
        <w:tc>
          <w:tcPr>
            <w:tcW w:w="1275" w:type="dxa"/>
          </w:tcPr>
          <w:p w:rsidR="00651D5C" w:rsidRPr="00EC03D6" w:rsidRDefault="00651D5C"/>
        </w:tc>
        <w:tc>
          <w:tcPr>
            <w:tcW w:w="1276" w:type="dxa"/>
          </w:tcPr>
          <w:p w:rsidR="00651D5C" w:rsidRPr="00EC03D6" w:rsidRDefault="00651D5C"/>
        </w:tc>
        <w:tc>
          <w:tcPr>
            <w:tcW w:w="5245" w:type="dxa"/>
          </w:tcPr>
          <w:p w:rsidR="00651D5C" w:rsidRPr="00EC03D6" w:rsidRDefault="00651D5C"/>
        </w:tc>
      </w:tr>
      <w:tr w:rsidR="00651D5C" w:rsidRPr="00EC03D6" w:rsidTr="000E003D">
        <w:tc>
          <w:tcPr>
            <w:tcW w:w="1135" w:type="dxa"/>
          </w:tcPr>
          <w:p w:rsidR="00651D5C" w:rsidRPr="00EC03D6" w:rsidRDefault="00741DF6">
            <w:r w:rsidRPr="00EC03D6">
              <w:t>12/9/14</w:t>
            </w:r>
          </w:p>
        </w:tc>
        <w:tc>
          <w:tcPr>
            <w:tcW w:w="992" w:type="dxa"/>
          </w:tcPr>
          <w:p w:rsidR="00741DF6" w:rsidRPr="00EC03D6" w:rsidRDefault="00741DF6">
            <w:r w:rsidRPr="00EC03D6">
              <w:t>10.8.1</w:t>
            </w:r>
          </w:p>
          <w:p w:rsidR="00EC03D6" w:rsidRDefault="00EC03D6"/>
          <w:p w:rsidR="00EC03D6" w:rsidRDefault="00EC03D6"/>
          <w:p w:rsidR="00EC03D6" w:rsidRDefault="00EC03D6"/>
          <w:p w:rsidR="00EC03D6" w:rsidRDefault="00EC03D6">
            <w:r w:rsidRPr="00EC03D6">
              <w:t>10.8.3</w:t>
            </w:r>
          </w:p>
          <w:p w:rsidR="00C339AF" w:rsidRDefault="00C339AF"/>
          <w:p w:rsidR="00C339AF" w:rsidRDefault="00C339AF"/>
          <w:p w:rsidR="00C339AF" w:rsidRDefault="00C339AF"/>
          <w:p w:rsidR="00C339AF" w:rsidRPr="00EC03D6" w:rsidRDefault="00C339AF">
            <w:r>
              <w:t>10.8.4</w:t>
            </w:r>
          </w:p>
        </w:tc>
        <w:tc>
          <w:tcPr>
            <w:tcW w:w="4820" w:type="dxa"/>
          </w:tcPr>
          <w:p w:rsidR="00EC03D6" w:rsidRPr="00EC03D6" w:rsidRDefault="00741DF6" w:rsidP="009862A1">
            <w:r w:rsidRPr="00EC03D6">
              <w:t xml:space="preserve">That the Commissioner provides a comparison of how the DIP funding looked under the previous arrangements and how it will </w:t>
            </w:r>
            <w:r w:rsidR="00EC03D6" w:rsidRPr="00EC03D6">
              <w:t xml:space="preserve">be </w:t>
            </w:r>
            <w:r w:rsidRPr="00EC03D6">
              <w:t xml:space="preserve">allocated </w:t>
            </w:r>
            <w:r w:rsidR="00EC03D6" w:rsidRPr="00EC03D6">
              <w:t xml:space="preserve">and </w:t>
            </w:r>
            <w:r w:rsidRPr="00EC03D6">
              <w:t>under the revised arrangements.</w:t>
            </w:r>
          </w:p>
          <w:p w:rsidR="00651D5C" w:rsidRDefault="00EC03D6" w:rsidP="009862A1">
            <w:r w:rsidRPr="00EC03D6">
              <w:t xml:space="preserve">This report should also provide information on how the new arrangements of allocating funding will be monitored in order that adequate provision is made in all areas.    </w:t>
            </w:r>
          </w:p>
          <w:p w:rsidR="00C339AF" w:rsidRPr="00EC03D6" w:rsidRDefault="00C339AF" w:rsidP="009862A1">
            <w:r w:rsidRPr="00EC03D6">
              <w:t>That a report giving a progress update on all the individual recommendations from the DIP review are brought to a future meeting.</w:t>
            </w:r>
          </w:p>
        </w:tc>
        <w:tc>
          <w:tcPr>
            <w:tcW w:w="1275" w:type="dxa"/>
          </w:tcPr>
          <w:p w:rsidR="00651D5C" w:rsidRPr="00EC03D6" w:rsidRDefault="00741DF6">
            <w:r w:rsidRPr="00EC03D6">
              <w:t>PCC</w:t>
            </w:r>
          </w:p>
        </w:tc>
        <w:tc>
          <w:tcPr>
            <w:tcW w:w="1276" w:type="dxa"/>
          </w:tcPr>
          <w:p w:rsidR="00651D5C" w:rsidRPr="00EC03D6" w:rsidRDefault="00C339AF">
            <w:r>
              <w:t>17 April 15</w:t>
            </w:r>
          </w:p>
        </w:tc>
        <w:tc>
          <w:tcPr>
            <w:tcW w:w="5245" w:type="dxa"/>
          </w:tcPr>
          <w:p w:rsidR="00DB3EC1" w:rsidRPr="00EC03D6" w:rsidRDefault="00C339AF" w:rsidP="00EC03D6">
            <w:r w:rsidRPr="00C339AF">
              <w:t>Request for the DIP funding to be allocated based on population and crime stats. Take into account the address of the perpetrator which may be different from the district the crime was committed in and how funding is allocated to cover this.</w:t>
            </w:r>
          </w:p>
        </w:tc>
      </w:tr>
      <w:tr w:rsidR="00EC03D6" w:rsidRPr="00EC03D6" w:rsidTr="000E003D">
        <w:tc>
          <w:tcPr>
            <w:tcW w:w="1135" w:type="dxa"/>
          </w:tcPr>
          <w:p w:rsidR="00EC03D6" w:rsidRPr="00EC03D6" w:rsidRDefault="00EC03D6"/>
        </w:tc>
        <w:tc>
          <w:tcPr>
            <w:tcW w:w="992" w:type="dxa"/>
          </w:tcPr>
          <w:p w:rsidR="00EC03D6" w:rsidRPr="00EC03D6" w:rsidRDefault="00EC03D6"/>
        </w:tc>
        <w:tc>
          <w:tcPr>
            <w:tcW w:w="4820" w:type="dxa"/>
          </w:tcPr>
          <w:p w:rsidR="00EC03D6" w:rsidRPr="00EC03D6" w:rsidRDefault="00EC03D6" w:rsidP="00EC03D6"/>
        </w:tc>
        <w:tc>
          <w:tcPr>
            <w:tcW w:w="1275" w:type="dxa"/>
          </w:tcPr>
          <w:p w:rsidR="00EC03D6" w:rsidRPr="00EC03D6" w:rsidRDefault="00EC03D6"/>
        </w:tc>
        <w:tc>
          <w:tcPr>
            <w:tcW w:w="1276" w:type="dxa"/>
          </w:tcPr>
          <w:p w:rsidR="00EC03D6" w:rsidRPr="00EC03D6" w:rsidRDefault="00EC03D6"/>
        </w:tc>
        <w:tc>
          <w:tcPr>
            <w:tcW w:w="5245" w:type="dxa"/>
          </w:tcPr>
          <w:p w:rsidR="00EC03D6" w:rsidRPr="00EC03D6" w:rsidRDefault="00EC03D6"/>
        </w:tc>
      </w:tr>
      <w:tr w:rsidR="00741DF6" w:rsidRPr="00EC03D6" w:rsidTr="000E003D">
        <w:tc>
          <w:tcPr>
            <w:tcW w:w="1135" w:type="dxa"/>
          </w:tcPr>
          <w:p w:rsidR="00741DF6" w:rsidRPr="00EC03D6" w:rsidRDefault="00EC03D6">
            <w:r w:rsidRPr="00EC03D6">
              <w:t>12/9/14</w:t>
            </w:r>
          </w:p>
        </w:tc>
        <w:tc>
          <w:tcPr>
            <w:tcW w:w="992" w:type="dxa"/>
          </w:tcPr>
          <w:p w:rsidR="00741DF6" w:rsidRPr="00EC03D6" w:rsidRDefault="00EC03D6">
            <w:r w:rsidRPr="00EC03D6">
              <w:t>14.7.1</w:t>
            </w:r>
          </w:p>
        </w:tc>
        <w:tc>
          <w:tcPr>
            <w:tcW w:w="4820" w:type="dxa"/>
          </w:tcPr>
          <w:p w:rsidR="00EC03D6" w:rsidRPr="00EC03D6" w:rsidRDefault="00EC03D6" w:rsidP="00EC03D6">
            <w:r w:rsidRPr="00EC03D6">
              <w:t>That the Commissioner provides a report to the Panel within six months on the progress made against the recommendations highlighted within HMIC’s Crime Data Integrity report.</w:t>
            </w:r>
          </w:p>
          <w:p w:rsidR="00741DF6" w:rsidRPr="00EC03D6" w:rsidRDefault="00741DF6" w:rsidP="009862A1"/>
        </w:tc>
        <w:tc>
          <w:tcPr>
            <w:tcW w:w="1275" w:type="dxa"/>
          </w:tcPr>
          <w:p w:rsidR="00741DF6" w:rsidRPr="00EC03D6" w:rsidRDefault="00EC03D6">
            <w:r w:rsidRPr="00EC03D6">
              <w:t>PCC</w:t>
            </w:r>
          </w:p>
        </w:tc>
        <w:tc>
          <w:tcPr>
            <w:tcW w:w="1276" w:type="dxa"/>
          </w:tcPr>
          <w:p w:rsidR="00741DF6" w:rsidRPr="00EC03D6" w:rsidRDefault="00EC03D6">
            <w:r w:rsidRPr="00EC03D6">
              <w:t>6 Mar 15</w:t>
            </w:r>
          </w:p>
        </w:tc>
        <w:tc>
          <w:tcPr>
            <w:tcW w:w="5245" w:type="dxa"/>
          </w:tcPr>
          <w:p w:rsidR="00741DF6" w:rsidRPr="00EC03D6" w:rsidRDefault="00EC03D6">
            <w:r>
              <w:t>Specific concern from Panel over historical CSE crime recording to be addressed.</w:t>
            </w:r>
          </w:p>
        </w:tc>
      </w:tr>
      <w:tr w:rsidR="00741DF6" w:rsidRPr="00EC03D6" w:rsidTr="000E003D">
        <w:tc>
          <w:tcPr>
            <w:tcW w:w="1135" w:type="dxa"/>
          </w:tcPr>
          <w:p w:rsidR="00741DF6" w:rsidRPr="00EC03D6" w:rsidRDefault="00741DF6"/>
        </w:tc>
        <w:tc>
          <w:tcPr>
            <w:tcW w:w="992" w:type="dxa"/>
          </w:tcPr>
          <w:p w:rsidR="00741DF6" w:rsidRPr="00EC03D6" w:rsidRDefault="00741DF6"/>
        </w:tc>
        <w:tc>
          <w:tcPr>
            <w:tcW w:w="4820" w:type="dxa"/>
          </w:tcPr>
          <w:p w:rsidR="00741DF6" w:rsidRPr="00EC03D6" w:rsidRDefault="00741DF6" w:rsidP="009862A1"/>
        </w:tc>
        <w:tc>
          <w:tcPr>
            <w:tcW w:w="1275" w:type="dxa"/>
          </w:tcPr>
          <w:p w:rsidR="00741DF6" w:rsidRPr="00EC03D6" w:rsidRDefault="00741DF6"/>
        </w:tc>
        <w:tc>
          <w:tcPr>
            <w:tcW w:w="1276" w:type="dxa"/>
          </w:tcPr>
          <w:p w:rsidR="00741DF6" w:rsidRPr="00EC03D6" w:rsidRDefault="00741DF6"/>
        </w:tc>
        <w:tc>
          <w:tcPr>
            <w:tcW w:w="5245" w:type="dxa"/>
          </w:tcPr>
          <w:p w:rsidR="00741DF6" w:rsidRPr="00EC03D6" w:rsidRDefault="00741DF6"/>
        </w:tc>
      </w:tr>
    </w:tbl>
    <w:p w:rsidR="0020179E" w:rsidRPr="004D7992" w:rsidRDefault="0020179E" w:rsidP="00355400"/>
    <w:p w:rsidR="0020179E" w:rsidRDefault="0020179E" w:rsidP="00355400"/>
    <w:p w:rsidR="0020179E" w:rsidRDefault="00827F02" w:rsidP="00355400">
      <w:r>
        <w:t>Updated by Pane</w:t>
      </w:r>
      <w:r w:rsidR="004D7992">
        <w:t xml:space="preserve">l </w:t>
      </w:r>
      <w:r w:rsidR="004D7992">
        <w:tab/>
      </w:r>
      <w:r w:rsidR="00C339AF">
        <w:t>23/10/14</w:t>
      </w:r>
      <w:r w:rsidR="009F072E">
        <w:t xml:space="preserve"> ED</w:t>
      </w:r>
    </w:p>
    <w:p w:rsidR="0020179E" w:rsidRDefault="0020179E" w:rsidP="00355400"/>
    <w:p w:rsidR="0020179E" w:rsidRDefault="004D7992" w:rsidP="00355400">
      <w:r>
        <w:t>Updated by OPCC</w:t>
      </w:r>
      <w:r>
        <w:tab/>
      </w:r>
      <w:r w:rsidR="00C339AF">
        <w:t>23/10/14 KB</w:t>
      </w:r>
    </w:p>
    <w:sectPr w:rsidR="0020179E" w:rsidSect="007426BA">
      <w:footerReference w:type="default" r:id="rId9"/>
      <w:pgSz w:w="16838" w:h="11906" w:orient="landscape"/>
      <w:pgMar w:top="1134" w:right="1440" w:bottom="851" w:left="1440" w:header="708" w:footer="4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992" w:rsidRDefault="004D7992" w:rsidP="007426BA">
      <w:r>
        <w:separator/>
      </w:r>
    </w:p>
  </w:endnote>
  <w:endnote w:type="continuationSeparator" w:id="0">
    <w:p w:rsidR="004D7992" w:rsidRDefault="004D7992" w:rsidP="00742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6949050"/>
      <w:docPartObj>
        <w:docPartGallery w:val="Page Numbers (Bottom of Page)"/>
        <w:docPartUnique/>
      </w:docPartObj>
    </w:sdtPr>
    <w:sdtEndPr>
      <w:rPr>
        <w:noProof/>
      </w:rPr>
    </w:sdtEndPr>
    <w:sdtContent>
      <w:p w:rsidR="004D7992" w:rsidRDefault="004D7992">
        <w:pPr>
          <w:pStyle w:val="Footer"/>
          <w:jc w:val="center"/>
        </w:pPr>
        <w:r>
          <w:fldChar w:fldCharType="begin"/>
        </w:r>
        <w:r>
          <w:instrText xml:space="preserve"> PAGE   \* MERGEFORMAT </w:instrText>
        </w:r>
        <w:r>
          <w:fldChar w:fldCharType="separate"/>
        </w:r>
        <w:r w:rsidR="00C329B9">
          <w:rPr>
            <w:noProof/>
          </w:rPr>
          <w:t>1</w:t>
        </w:r>
        <w:r>
          <w:rPr>
            <w:noProof/>
          </w:rPr>
          <w:fldChar w:fldCharType="end"/>
        </w:r>
      </w:p>
    </w:sdtContent>
  </w:sdt>
  <w:p w:rsidR="004D7992" w:rsidRDefault="004D79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992" w:rsidRDefault="004D7992" w:rsidP="007426BA">
      <w:r>
        <w:separator/>
      </w:r>
    </w:p>
  </w:footnote>
  <w:footnote w:type="continuationSeparator" w:id="0">
    <w:p w:rsidR="004D7992" w:rsidRDefault="004D7992" w:rsidP="007426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320DB"/>
    <w:multiLevelType w:val="hybridMultilevel"/>
    <w:tmpl w:val="71622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5F56129"/>
    <w:multiLevelType w:val="hybridMultilevel"/>
    <w:tmpl w:val="9F306262"/>
    <w:lvl w:ilvl="0" w:tplc="BA3AC66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F9226C4"/>
    <w:multiLevelType w:val="hybridMultilevel"/>
    <w:tmpl w:val="B34CDA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67266765"/>
    <w:multiLevelType w:val="hybridMultilevel"/>
    <w:tmpl w:val="D452D4F2"/>
    <w:lvl w:ilvl="0" w:tplc="0F6AAD64">
      <w:numFmt w:val="bullet"/>
      <w:lvlText w:val=""/>
      <w:lvlJc w:val="left"/>
      <w:pPr>
        <w:ind w:left="3240" w:hanging="360"/>
      </w:pPr>
      <w:rPr>
        <w:rFonts w:ascii="Symbol" w:eastAsia="Calibri" w:hAnsi="Symbol" w:cs="Calibri"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7F7922FA"/>
    <w:multiLevelType w:val="multilevel"/>
    <w:tmpl w:val="2FD8D12A"/>
    <w:lvl w:ilvl="0">
      <w:start w:val="5"/>
      <w:numFmt w:val="decimal"/>
      <w:lvlText w:val="%1"/>
      <w:lvlJc w:val="left"/>
      <w:pPr>
        <w:ind w:left="435" w:hanging="435"/>
      </w:pPr>
      <w:rPr>
        <w:rFonts w:hint="default"/>
        <w:sz w:val="22"/>
      </w:rPr>
    </w:lvl>
    <w:lvl w:ilvl="1">
      <w:start w:val="1"/>
      <w:numFmt w:val="decimal"/>
      <w:lvlText w:val="%1.%2"/>
      <w:lvlJc w:val="left"/>
      <w:pPr>
        <w:ind w:left="795" w:hanging="435"/>
      </w:pPr>
      <w:rPr>
        <w:rFonts w:hint="default"/>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4"/>
  </w:num>
  <w:num w:numId="2">
    <w:abstractNumId w:val="3"/>
  </w:num>
  <w:num w:numId="3">
    <w:abstractNumId w:val="2"/>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3D0"/>
    <w:rsid w:val="00050DD7"/>
    <w:rsid w:val="0006585C"/>
    <w:rsid w:val="00085E14"/>
    <w:rsid w:val="000B09E5"/>
    <w:rsid w:val="000D03AD"/>
    <w:rsid w:val="000E003D"/>
    <w:rsid w:val="0018309C"/>
    <w:rsid w:val="0020179E"/>
    <w:rsid w:val="00226255"/>
    <w:rsid w:val="00242325"/>
    <w:rsid w:val="002539A2"/>
    <w:rsid w:val="00274A90"/>
    <w:rsid w:val="00355400"/>
    <w:rsid w:val="003D477A"/>
    <w:rsid w:val="003D58EE"/>
    <w:rsid w:val="00471109"/>
    <w:rsid w:val="00476941"/>
    <w:rsid w:val="00490D01"/>
    <w:rsid w:val="004B13D0"/>
    <w:rsid w:val="004D7992"/>
    <w:rsid w:val="00522322"/>
    <w:rsid w:val="00575478"/>
    <w:rsid w:val="00592E79"/>
    <w:rsid w:val="005B680A"/>
    <w:rsid w:val="005C69BE"/>
    <w:rsid w:val="005D51C3"/>
    <w:rsid w:val="00636A30"/>
    <w:rsid w:val="00651D5C"/>
    <w:rsid w:val="00655D65"/>
    <w:rsid w:val="006A2BD7"/>
    <w:rsid w:val="006C3352"/>
    <w:rsid w:val="006E18A9"/>
    <w:rsid w:val="007101E5"/>
    <w:rsid w:val="00741DF6"/>
    <w:rsid w:val="007426BA"/>
    <w:rsid w:val="007704BE"/>
    <w:rsid w:val="007B46C3"/>
    <w:rsid w:val="007B49AC"/>
    <w:rsid w:val="007C0F66"/>
    <w:rsid w:val="007E1317"/>
    <w:rsid w:val="00811001"/>
    <w:rsid w:val="00827F02"/>
    <w:rsid w:val="0086597B"/>
    <w:rsid w:val="008B4743"/>
    <w:rsid w:val="008C6132"/>
    <w:rsid w:val="008F02A5"/>
    <w:rsid w:val="009172AA"/>
    <w:rsid w:val="009220FB"/>
    <w:rsid w:val="0093194A"/>
    <w:rsid w:val="009862A1"/>
    <w:rsid w:val="009D482D"/>
    <w:rsid w:val="009F072E"/>
    <w:rsid w:val="00A47C4A"/>
    <w:rsid w:val="00AC0197"/>
    <w:rsid w:val="00AE1B06"/>
    <w:rsid w:val="00B956D0"/>
    <w:rsid w:val="00BD421A"/>
    <w:rsid w:val="00BE06ED"/>
    <w:rsid w:val="00BE773B"/>
    <w:rsid w:val="00C1784D"/>
    <w:rsid w:val="00C30754"/>
    <w:rsid w:val="00C32454"/>
    <w:rsid w:val="00C329B9"/>
    <w:rsid w:val="00C339AF"/>
    <w:rsid w:val="00C502DB"/>
    <w:rsid w:val="00C62683"/>
    <w:rsid w:val="00C93E8B"/>
    <w:rsid w:val="00CA01DB"/>
    <w:rsid w:val="00D174F7"/>
    <w:rsid w:val="00D71DD6"/>
    <w:rsid w:val="00DA0083"/>
    <w:rsid w:val="00DA1CAD"/>
    <w:rsid w:val="00DB3EC1"/>
    <w:rsid w:val="00E85AD3"/>
    <w:rsid w:val="00EC03D6"/>
    <w:rsid w:val="00EC2329"/>
    <w:rsid w:val="00F420A0"/>
    <w:rsid w:val="00F814FA"/>
    <w:rsid w:val="00F8334C"/>
    <w:rsid w:val="00F8613F"/>
    <w:rsid w:val="00F8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3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6BA"/>
    <w:pPr>
      <w:tabs>
        <w:tab w:val="center" w:pos="4513"/>
        <w:tab w:val="right" w:pos="9026"/>
      </w:tabs>
    </w:pPr>
  </w:style>
  <w:style w:type="character" w:customStyle="1" w:styleId="HeaderChar">
    <w:name w:val="Header Char"/>
    <w:basedOn w:val="DefaultParagraphFont"/>
    <w:link w:val="Header"/>
    <w:uiPriority w:val="99"/>
    <w:rsid w:val="007426BA"/>
    <w:rPr>
      <w:rFonts w:ascii="Calibri" w:eastAsia="Calibri" w:hAnsi="Calibri" w:cs="Times New Roman"/>
    </w:rPr>
  </w:style>
  <w:style w:type="paragraph" w:styleId="Footer">
    <w:name w:val="footer"/>
    <w:basedOn w:val="Normal"/>
    <w:link w:val="FooterChar"/>
    <w:uiPriority w:val="99"/>
    <w:unhideWhenUsed/>
    <w:rsid w:val="007426BA"/>
    <w:pPr>
      <w:tabs>
        <w:tab w:val="center" w:pos="4513"/>
        <w:tab w:val="right" w:pos="9026"/>
      </w:tabs>
    </w:pPr>
  </w:style>
  <w:style w:type="character" w:customStyle="1" w:styleId="FooterChar">
    <w:name w:val="Footer Char"/>
    <w:basedOn w:val="DefaultParagraphFont"/>
    <w:link w:val="Footer"/>
    <w:uiPriority w:val="99"/>
    <w:rsid w:val="007426BA"/>
    <w:rPr>
      <w:rFonts w:ascii="Calibri" w:eastAsia="Calibri" w:hAnsi="Calibri" w:cs="Times New Roman"/>
    </w:rPr>
  </w:style>
  <w:style w:type="paragraph" w:styleId="BalloonText">
    <w:name w:val="Balloon Text"/>
    <w:basedOn w:val="Normal"/>
    <w:link w:val="BalloonTextChar"/>
    <w:uiPriority w:val="99"/>
    <w:semiHidden/>
    <w:unhideWhenUsed/>
    <w:rsid w:val="00C62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83"/>
    <w:rPr>
      <w:rFonts w:ascii="Segoe UI" w:eastAsia="Calibri" w:hAnsi="Segoe UI" w:cs="Segoe UI"/>
      <w:sz w:val="18"/>
      <w:szCs w:val="18"/>
    </w:rPr>
  </w:style>
  <w:style w:type="paragraph" w:styleId="ListParagraph">
    <w:name w:val="List Paragraph"/>
    <w:basedOn w:val="Normal"/>
    <w:uiPriority w:val="34"/>
    <w:qFormat/>
    <w:rsid w:val="00655D65"/>
    <w:pPr>
      <w:ind w:left="720"/>
    </w:pPr>
    <w:rPr>
      <w:rFonts w:eastAsiaTheme="minorHAnsi" w:cs="Calibri"/>
    </w:rPr>
  </w:style>
  <w:style w:type="character" w:styleId="Hyperlink">
    <w:name w:val="Hyperlink"/>
    <w:basedOn w:val="DefaultParagraphFont"/>
    <w:uiPriority w:val="99"/>
    <w:unhideWhenUsed/>
    <w:rsid w:val="00655D65"/>
    <w:rPr>
      <w:color w:val="0000FF" w:themeColor="hyperlink"/>
      <w:u w:val="single"/>
    </w:rPr>
  </w:style>
  <w:style w:type="character" w:styleId="FollowedHyperlink">
    <w:name w:val="FollowedHyperlink"/>
    <w:basedOn w:val="DefaultParagraphFont"/>
    <w:uiPriority w:val="99"/>
    <w:semiHidden/>
    <w:unhideWhenUsed/>
    <w:rsid w:val="00F863FE"/>
    <w:rPr>
      <w:color w:val="800080" w:themeColor="followedHyperlink"/>
      <w:u w:val="single"/>
    </w:rPr>
  </w:style>
  <w:style w:type="paragraph" w:customStyle="1" w:styleId="Body">
    <w:name w:val="Body"/>
    <w:rsid w:val="00050DD7"/>
    <w:rPr>
      <w:rFonts w:ascii="Helvetica" w:eastAsia="Arial Unicode MS" w:hAnsi="Arial Unicode MS" w:cs="Arial Unicode MS"/>
      <w:color w:val="00000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3D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6BA"/>
    <w:pPr>
      <w:tabs>
        <w:tab w:val="center" w:pos="4513"/>
        <w:tab w:val="right" w:pos="9026"/>
      </w:tabs>
    </w:pPr>
  </w:style>
  <w:style w:type="character" w:customStyle="1" w:styleId="HeaderChar">
    <w:name w:val="Header Char"/>
    <w:basedOn w:val="DefaultParagraphFont"/>
    <w:link w:val="Header"/>
    <w:uiPriority w:val="99"/>
    <w:rsid w:val="007426BA"/>
    <w:rPr>
      <w:rFonts w:ascii="Calibri" w:eastAsia="Calibri" w:hAnsi="Calibri" w:cs="Times New Roman"/>
    </w:rPr>
  </w:style>
  <w:style w:type="paragraph" w:styleId="Footer">
    <w:name w:val="footer"/>
    <w:basedOn w:val="Normal"/>
    <w:link w:val="FooterChar"/>
    <w:uiPriority w:val="99"/>
    <w:unhideWhenUsed/>
    <w:rsid w:val="007426BA"/>
    <w:pPr>
      <w:tabs>
        <w:tab w:val="center" w:pos="4513"/>
        <w:tab w:val="right" w:pos="9026"/>
      </w:tabs>
    </w:pPr>
  </w:style>
  <w:style w:type="character" w:customStyle="1" w:styleId="FooterChar">
    <w:name w:val="Footer Char"/>
    <w:basedOn w:val="DefaultParagraphFont"/>
    <w:link w:val="Footer"/>
    <w:uiPriority w:val="99"/>
    <w:rsid w:val="007426BA"/>
    <w:rPr>
      <w:rFonts w:ascii="Calibri" w:eastAsia="Calibri" w:hAnsi="Calibri" w:cs="Times New Roman"/>
    </w:rPr>
  </w:style>
  <w:style w:type="paragraph" w:styleId="BalloonText">
    <w:name w:val="Balloon Text"/>
    <w:basedOn w:val="Normal"/>
    <w:link w:val="BalloonTextChar"/>
    <w:uiPriority w:val="99"/>
    <w:semiHidden/>
    <w:unhideWhenUsed/>
    <w:rsid w:val="00C626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683"/>
    <w:rPr>
      <w:rFonts w:ascii="Segoe UI" w:eastAsia="Calibri" w:hAnsi="Segoe UI" w:cs="Segoe UI"/>
      <w:sz w:val="18"/>
      <w:szCs w:val="18"/>
    </w:rPr>
  </w:style>
  <w:style w:type="paragraph" w:styleId="ListParagraph">
    <w:name w:val="List Paragraph"/>
    <w:basedOn w:val="Normal"/>
    <w:uiPriority w:val="34"/>
    <w:qFormat/>
    <w:rsid w:val="00655D65"/>
    <w:pPr>
      <w:ind w:left="720"/>
    </w:pPr>
    <w:rPr>
      <w:rFonts w:eastAsiaTheme="minorHAnsi" w:cs="Calibri"/>
    </w:rPr>
  </w:style>
  <w:style w:type="character" w:styleId="Hyperlink">
    <w:name w:val="Hyperlink"/>
    <w:basedOn w:val="DefaultParagraphFont"/>
    <w:uiPriority w:val="99"/>
    <w:unhideWhenUsed/>
    <w:rsid w:val="00655D65"/>
    <w:rPr>
      <w:color w:val="0000FF" w:themeColor="hyperlink"/>
      <w:u w:val="single"/>
    </w:rPr>
  </w:style>
  <w:style w:type="character" w:styleId="FollowedHyperlink">
    <w:name w:val="FollowedHyperlink"/>
    <w:basedOn w:val="DefaultParagraphFont"/>
    <w:uiPriority w:val="99"/>
    <w:semiHidden/>
    <w:unhideWhenUsed/>
    <w:rsid w:val="00F863FE"/>
    <w:rPr>
      <w:color w:val="800080" w:themeColor="followedHyperlink"/>
      <w:u w:val="single"/>
    </w:rPr>
  </w:style>
  <w:style w:type="paragraph" w:customStyle="1" w:styleId="Body">
    <w:name w:val="Body"/>
    <w:rsid w:val="00050DD7"/>
    <w:rPr>
      <w:rFonts w:ascii="Helvetica" w:eastAsia="Arial Unicode MS" w:hAnsi="Arial Unicode MS" w:cs="Arial Unicode M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171273">
      <w:bodyDiv w:val="1"/>
      <w:marLeft w:val="0"/>
      <w:marRight w:val="0"/>
      <w:marTop w:val="0"/>
      <w:marBottom w:val="0"/>
      <w:divBdr>
        <w:top w:val="none" w:sz="0" w:space="0" w:color="auto"/>
        <w:left w:val="none" w:sz="0" w:space="0" w:color="auto"/>
        <w:bottom w:val="none" w:sz="0" w:space="0" w:color="auto"/>
        <w:right w:val="none" w:sz="0" w:space="0" w:color="auto"/>
      </w:divBdr>
    </w:div>
    <w:div w:id="338653895">
      <w:bodyDiv w:val="1"/>
      <w:marLeft w:val="0"/>
      <w:marRight w:val="0"/>
      <w:marTop w:val="0"/>
      <w:marBottom w:val="0"/>
      <w:divBdr>
        <w:top w:val="none" w:sz="0" w:space="0" w:color="auto"/>
        <w:left w:val="none" w:sz="0" w:space="0" w:color="auto"/>
        <w:bottom w:val="none" w:sz="0" w:space="0" w:color="auto"/>
        <w:right w:val="none" w:sz="0" w:space="0" w:color="auto"/>
      </w:divBdr>
    </w:div>
    <w:div w:id="874805340">
      <w:bodyDiv w:val="1"/>
      <w:marLeft w:val="0"/>
      <w:marRight w:val="0"/>
      <w:marTop w:val="0"/>
      <w:marBottom w:val="0"/>
      <w:divBdr>
        <w:top w:val="none" w:sz="0" w:space="0" w:color="auto"/>
        <w:left w:val="none" w:sz="0" w:space="0" w:color="auto"/>
        <w:bottom w:val="none" w:sz="0" w:space="0" w:color="auto"/>
        <w:right w:val="none" w:sz="0" w:space="0" w:color="auto"/>
      </w:divBdr>
    </w:div>
    <w:div w:id="1041634652">
      <w:bodyDiv w:val="1"/>
      <w:marLeft w:val="0"/>
      <w:marRight w:val="0"/>
      <w:marTop w:val="0"/>
      <w:marBottom w:val="0"/>
      <w:divBdr>
        <w:top w:val="none" w:sz="0" w:space="0" w:color="auto"/>
        <w:left w:val="none" w:sz="0" w:space="0" w:color="auto"/>
        <w:bottom w:val="none" w:sz="0" w:space="0" w:color="auto"/>
        <w:right w:val="none" w:sz="0" w:space="0" w:color="auto"/>
      </w:divBdr>
    </w:div>
    <w:div w:id="1101686742">
      <w:bodyDiv w:val="1"/>
      <w:marLeft w:val="0"/>
      <w:marRight w:val="0"/>
      <w:marTop w:val="0"/>
      <w:marBottom w:val="0"/>
      <w:divBdr>
        <w:top w:val="none" w:sz="0" w:space="0" w:color="auto"/>
        <w:left w:val="none" w:sz="0" w:space="0" w:color="auto"/>
        <w:bottom w:val="none" w:sz="0" w:space="0" w:color="auto"/>
        <w:right w:val="none" w:sz="0" w:space="0" w:color="auto"/>
      </w:divBdr>
    </w:div>
    <w:div w:id="1366902022">
      <w:bodyDiv w:val="1"/>
      <w:marLeft w:val="0"/>
      <w:marRight w:val="0"/>
      <w:marTop w:val="0"/>
      <w:marBottom w:val="0"/>
      <w:divBdr>
        <w:top w:val="none" w:sz="0" w:space="0" w:color="auto"/>
        <w:left w:val="none" w:sz="0" w:space="0" w:color="auto"/>
        <w:bottom w:val="none" w:sz="0" w:space="0" w:color="auto"/>
        <w:right w:val="none" w:sz="0" w:space="0" w:color="auto"/>
      </w:divBdr>
    </w:div>
    <w:div w:id="1431119688">
      <w:bodyDiv w:val="1"/>
      <w:marLeft w:val="0"/>
      <w:marRight w:val="0"/>
      <w:marTop w:val="0"/>
      <w:marBottom w:val="0"/>
      <w:divBdr>
        <w:top w:val="none" w:sz="0" w:space="0" w:color="auto"/>
        <w:left w:val="none" w:sz="0" w:space="0" w:color="auto"/>
        <w:bottom w:val="none" w:sz="0" w:space="0" w:color="auto"/>
        <w:right w:val="none" w:sz="0" w:space="0" w:color="auto"/>
      </w:divBdr>
    </w:div>
    <w:div w:id="1934045927">
      <w:bodyDiv w:val="1"/>
      <w:marLeft w:val="0"/>
      <w:marRight w:val="0"/>
      <w:marTop w:val="0"/>
      <w:marBottom w:val="0"/>
      <w:divBdr>
        <w:top w:val="none" w:sz="0" w:space="0" w:color="auto"/>
        <w:left w:val="none" w:sz="0" w:space="0" w:color="auto"/>
        <w:bottom w:val="none" w:sz="0" w:space="0" w:color="auto"/>
        <w:right w:val="none" w:sz="0" w:space="0" w:color="auto"/>
      </w:divBdr>
    </w:div>
    <w:div w:id="202848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1E30329-49A5-4825-B9F7-0C97EED30731}"/>
</file>

<file path=customXml/itemProps2.xml><?xml version="1.0" encoding="utf-8"?>
<ds:datastoreItem xmlns:ds="http://schemas.openxmlformats.org/officeDocument/2006/customXml" ds:itemID="{1B41AA2B-68FF-4AF0-B702-B617B3B4E6A8}"/>
</file>

<file path=customXml/itemProps3.xml><?xml version="1.0" encoding="utf-8"?>
<ds:datastoreItem xmlns:ds="http://schemas.openxmlformats.org/officeDocument/2006/customXml" ds:itemID="{2A804664-D9FF-4AFA-8AB9-6E55A294339A}"/>
</file>

<file path=docProps/app.xml><?xml version="1.0" encoding="utf-8"?>
<Properties xmlns="http://schemas.openxmlformats.org/officeDocument/2006/extended-properties" xmlns:vt="http://schemas.openxmlformats.org/officeDocument/2006/docPropsVTypes">
  <Template>Normal</Template>
  <TotalTime>58</TotalTime>
  <Pages>4</Pages>
  <Words>1135</Words>
  <Characters>6473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10 - Agreed Actions</dc:title>
  <dc:creator>Wilkinson, Samantha</dc:creator>
  <cp:lastModifiedBy>Wilkinson, Samantha</cp:lastModifiedBy>
  <cp:revision>7</cp:revision>
  <cp:lastPrinted>2014-10-22T12:13:00Z</cp:lastPrinted>
  <dcterms:created xsi:type="dcterms:W3CDTF">2014-10-23T10:36:00Z</dcterms:created>
  <dcterms:modified xsi:type="dcterms:W3CDTF">2014-10-30T11:10:00Z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