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273E" w14:textId="0E78D559" w:rsidR="00B678BB" w:rsidRDefault="00425986" w:rsidP="00B75A12">
      <w:pPr>
        <w:jc w:val="right"/>
        <w:rPr>
          <w:b/>
          <w:bCs/>
        </w:rPr>
      </w:pPr>
      <w:r w:rsidRPr="0042598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9D6F74" wp14:editId="6F1929C3">
                <wp:simplePos x="0" y="0"/>
                <wp:positionH relativeFrom="column">
                  <wp:posOffset>5095875</wp:posOffset>
                </wp:positionH>
                <wp:positionV relativeFrom="paragraph">
                  <wp:posOffset>0</wp:posOffset>
                </wp:positionV>
                <wp:extent cx="1152525" cy="1404620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7C9F2" w14:textId="723E3A9E" w:rsidR="00425986" w:rsidRDefault="00425986">
                            <w:r>
                              <w:t>Item 5 cont’d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9D6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25pt;margin-top:0;width:9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">
                <v:textbox style="mso-fit-shape-to-text:t">
                  <w:txbxContent>
                    <w:p w14:paraId="0907C9F2" w14:textId="723E3A9E" w:rsidR="00425986" w:rsidRDefault="00425986">
                      <w:r>
                        <w:t>Item 5 cont’d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5A12">
        <w:rPr>
          <w:b/>
          <w:bCs/>
        </w:rPr>
        <w:t xml:space="preserve">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9"/>
        <w:gridCol w:w="7477"/>
      </w:tblGrid>
      <w:tr w:rsidR="00A27296" w:rsidRPr="004A6B23" w14:paraId="2C5AD1EC" w14:textId="77777777" w:rsidTr="00911F32">
        <w:trPr>
          <w:trHeight w:hRule="exact" w:val="510"/>
        </w:trPr>
        <w:tc>
          <w:tcPr>
            <w:tcW w:w="858" w:type="pct"/>
            <w:tcBorders>
              <w:top w:val="single" w:sz="8" w:space="0" w:color="auto"/>
            </w:tcBorders>
            <w:vAlign w:val="center"/>
          </w:tcPr>
          <w:p w14:paraId="28D5B984" w14:textId="77777777" w:rsidR="00A27296" w:rsidRPr="004A6B23" w:rsidRDefault="00A27296" w:rsidP="00911F3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A6B23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4142" w:type="pct"/>
            <w:tcBorders>
              <w:top w:val="single" w:sz="8" w:space="0" w:color="auto"/>
            </w:tcBorders>
            <w:vAlign w:val="center"/>
          </w:tcPr>
          <w:p w14:paraId="2A3AC9C2" w14:textId="77777777" w:rsidR="00A27296" w:rsidRPr="004A6B23" w:rsidRDefault="00A27296" w:rsidP="00911F3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4A6B23">
              <w:rPr>
                <w:rFonts w:ascii="Arial" w:hAnsi="Arial" w:cs="Arial"/>
                <w:sz w:val="24"/>
                <w:szCs w:val="24"/>
              </w:rPr>
              <w:t>Police and Crime Panel</w:t>
            </w:r>
          </w:p>
        </w:tc>
      </w:tr>
      <w:tr w:rsidR="00A27296" w:rsidRPr="004A6B23" w14:paraId="0C56F53A" w14:textId="77777777" w:rsidTr="00911F32">
        <w:trPr>
          <w:trHeight w:hRule="exact" w:val="510"/>
        </w:trPr>
        <w:tc>
          <w:tcPr>
            <w:tcW w:w="858" w:type="pct"/>
            <w:vAlign w:val="center"/>
          </w:tcPr>
          <w:p w14:paraId="33341849" w14:textId="77777777" w:rsidR="00A27296" w:rsidRPr="004A6B23" w:rsidRDefault="00A27296" w:rsidP="00911F3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A6B23">
              <w:rPr>
                <w:rFonts w:ascii="Arial" w:hAnsi="Arial" w:cs="Arial"/>
                <w:b/>
                <w:sz w:val="24"/>
                <w:szCs w:val="24"/>
              </w:rPr>
              <w:t xml:space="preserve">Date:  </w:t>
            </w:r>
          </w:p>
        </w:tc>
        <w:tc>
          <w:tcPr>
            <w:tcW w:w="4142" w:type="pct"/>
            <w:vAlign w:val="center"/>
          </w:tcPr>
          <w:p w14:paraId="70948248" w14:textId="77777777" w:rsidR="00A27296" w:rsidRPr="004A6B23" w:rsidRDefault="00A27296" w:rsidP="00911F3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17.04.26</w:t>
            </w:r>
          </w:p>
        </w:tc>
      </w:tr>
      <w:tr w:rsidR="00A27296" w:rsidRPr="004A6B23" w14:paraId="4B2B5254" w14:textId="77777777" w:rsidTr="00A27296">
        <w:trPr>
          <w:trHeight w:hRule="exact" w:val="658"/>
        </w:trPr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7F0A694A" w14:textId="77777777" w:rsidR="00A27296" w:rsidRPr="004A6B23" w:rsidRDefault="00A27296" w:rsidP="00911F3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A6B23">
              <w:rPr>
                <w:rFonts w:ascii="Arial" w:hAnsi="Arial" w:cs="Arial"/>
                <w:b/>
                <w:sz w:val="24"/>
                <w:szCs w:val="24"/>
              </w:rPr>
              <w:t xml:space="preserve">Subject:  </w:t>
            </w:r>
          </w:p>
        </w:tc>
        <w:tc>
          <w:tcPr>
            <w:tcW w:w="4142" w:type="pct"/>
            <w:tcBorders>
              <w:bottom w:val="single" w:sz="4" w:space="0" w:color="auto"/>
            </w:tcBorders>
            <w:vAlign w:val="center"/>
          </w:tcPr>
          <w:p w14:paraId="4D763710" w14:textId="2DBA1516" w:rsidR="00A27296" w:rsidRPr="004A6B23" w:rsidRDefault="00A27296" w:rsidP="00A27296">
            <w:pPr>
              <w:pStyle w:val="Header"/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4A6B23">
              <w:rPr>
                <w:rFonts w:ascii="Arial" w:hAnsi="Arial" w:cs="Arial"/>
                <w:bCs/>
                <w:sz w:val="24"/>
                <w:szCs w:val="24"/>
              </w:rPr>
              <w:t xml:space="preserve">Police and Crime Plan Priority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Two</w:t>
            </w:r>
            <w:r w:rsidRPr="004A6B23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Safer Places and Thriving Communities </w:t>
            </w:r>
            <w:r w:rsidR="008345A2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erformance </w:t>
            </w:r>
            <w:r w:rsidR="008345A2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Cs/>
                <w:sz w:val="24"/>
                <w:szCs w:val="24"/>
              </w:rPr>
              <w:t>easures</w:t>
            </w:r>
          </w:p>
        </w:tc>
      </w:tr>
      <w:tr w:rsidR="00A27296" w:rsidRPr="004A6B23" w14:paraId="51AFD8EF" w14:textId="77777777" w:rsidTr="00911F32">
        <w:trPr>
          <w:trHeight w:hRule="exact" w:val="510"/>
        </w:trPr>
        <w:tc>
          <w:tcPr>
            <w:tcW w:w="858" w:type="pct"/>
            <w:tcBorders>
              <w:top w:val="single" w:sz="4" w:space="0" w:color="auto"/>
            </w:tcBorders>
            <w:vAlign w:val="center"/>
          </w:tcPr>
          <w:p w14:paraId="58024179" w14:textId="77777777" w:rsidR="00A27296" w:rsidRPr="004A6B23" w:rsidRDefault="00A27296" w:rsidP="00911F3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A6B23">
              <w:rPr>
                <w:rFonts w:ascii="Arial" w:hAnsi="Arial" w:cs="Arial"/>
                <w:b/>
                <w:sz w:val="24"/>
                <w:szCs w:val="24"/>
              </w:rPr>
              <w:t>Report of:</w:t>
            </w:r>
          </w:p>
        </w:tc>
        <w:tc>
          <w:tcPr>
            <w:tcW w:w="4142" w:type="pct"/>
            <w:tcBorders>
              <w:top w:val="single" w:sz="4" w:space="0" w:color="auto"/>
            </w:tcBorders>
            <w:vAlign w:val="center"/>
          </w:tcPr>
          <w:p w14:paraId="69969A71" w14:textId="77777777" w:rsidR="00A27296" w:rsidRPr="004A6B23" w:rsidRDefault="00A27296" w:rsidP="00911F3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Alison Lowe</w:t>
            </w:r>
            <w:r w:rsidRPr="004A6B2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Deputy </w:t>
            </w:r>
            <w:r w:rsidRPr="004A6B23">
              <w:rPr>
                <w:rFonts w:ascii="Arial" w:hAnsi="Arial" w:cs="Arial"/>
                <w:sz w:val="24"/>
                <w:szCs w:val="24"/>
              </w:rPr>
              <w:t>Mayor of West Yorkshire</w:t>
            </w:r>
          </w:p>
        </w:tc>
      </w:tr>
      <w:tr w:rsidR="00A27296" w:rsidRPr="004A6B23" w14:paraId="1D13A35D" w14:textId="77777777" w:rsidTr="00A27296">
        <w:trPr>
          <w:trHeight w:hRule="exact" w:val="760"/>
        </w:trPr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62223AA3" w14:textId="77777777" w:rsidR="00A27296" w:rsidRPr="004A6B23" w:rsidRDefault="00A27296" w:rsidP="00911F3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A6B23">
              <w:rPr>
                <w:rFonts w:ascii="Arial" w:hAnsi="Arial" w:cs="Arial"/>
                <w:b/>
                <w:sz w:val="24"/>
                <w:szCs w:val="24"/>
              </w:rPr>
              <w:t>Author:</w:t>
            </w:r>
          </w:p>
        </w:tc>
        <w:tc>
          <w:tcPr>
            <w:tcW w:w="4142" w:type="pct"/>
            <w:tcBorders>
              <w:bottom w:val="single" w:sz="4" w:space="0" w:color="auto"/>
            </w:tcBorders>
            <w:vAlign w:val="center"/>
          </w:tcPr>
          <w:p w14:paraId="56307C0B" w14:textId="77777777" w:rsidR="00A27296" w:rsidRPr="004A6B23" w:rsidRDefault="00A27296" w:rsidP="00911F3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Team Policing and Crime – West Yorkshire Combined Authority</w:t>
            </w:r>
          </w:p>
        </w:tc>
      </w:tr>
    </w:tbl>
    <w:p w14:paraId="156EF9CF" w14:textId="77777777" w:rsidR="00A27296" w:rsidRPr="004A6B23" w:rsidRDefault="00A27296" w:rsidP="00A27296">
      <w:pPr>
        <w:pStyle w:val="BodyText"/>
        <w:tabs>
          <w:tab w:val="left" w:pos="1593"/>
        </w:tabs>
        <w:spacing w:line="480" w:lineRule="auto"/>
        <w:ind w:right="1586"/>
        <w:rPr>
          <w:rFonts w:ascii="Arial" w:hAnsi="Arial" w:cs="Arial"/>
        </w:rPr>
      </w:pPr>
      <w:r w:rsidRPr="004A6B23">
        <w:rPr>
          <w:rFonts w:ascii="Arial" w:hAnsi="Arial" w:cs="Arial"/>
        </w:rPr>
        <w:tab/>
      </w:r>
    </w:p>
    <w:p w14:paraId="76E019B0" w14:textId="4358F47D" w:rsidR="001818AD" w:rsidRPr="000F3F08" w:rsidRDefault="00E143AD" w:rsidP="000F3F08">
      <w:pPr>
        <w:pStyle w:val="ListParagraph"/>
        <w:widowControl w:val="0"/>
        <w:numPr>
          <w:ilvl w:val="0"/>
          <w:numId w:val="3"/>
        </w:numPr>
        <w:pBdr>
          <w:bottom w:val="single" w:sz="4" w:space="1" w:color="006F81"/>
        </w:pBdr>
        <w:autoSpaceDE w:val="0"/>
        <w:autoSpaceDN w:val="0"/>
        <w:spacing w:before="0" w:after="0" w:line="240" w:lineRule="auto"/>
        <w:ind w:left="426" w:hanging="426"/>
        <w:rPr>
          <w:rFonts w:eastAsia="Calibri"/>
          <w:b/>
          <w:bCs/>
          <w:color w:val="auto"/>
          <w:kern w:val="0"/>
          <w:lang w:val="en-US"/>
          <w14:ligatures w14:val="none"/>
        </w:rPr>
      </w:pPr>
      <w:r w:rsidRPr="000F3F08">
        <w:rPr>
          <w:rFonts w:eastAsia="Calibri"/>
          <w:b/>
          <w:bCs/>
          <w:color w:val="auto"/>
          <w:kern w:val="0"/>
          <w:lang w:val="en-US"/>
          <w14:ligatures w14:val="none"/>
        </w:rPr>
        <w:t>Police and Crime Plan Performance Measures</w:t>
      </w:r>
      <w:r w:rsidR="007324D3" w:rsidRPr="000F3F08">
        <w:rPr>
          <w:rFonts w:eastAsia="Calibri"/>
          <w:b/>
          <w:bCs/>
          <w:color w:val="auto"/>
          <w:kern w:val="0"/>
          <w:lang w:val="en-US"/>
          <w14:ligatures w14:val="none"/>
        </w:rPr>
        <w:t xml:space="preserve"> – </w:t>
      </w:r>
      <w:r w:rsidR="00094C9D" w:rsidRPr="000F3F08">
        <w:rPr>
          <w:rFonts w:eastAsia="Calibri"/>
          <w:b/>
          <w:bCs/>
          <w:color w:val="auto"/>
          <w:kern w:val="0"/>
          <w:lang w:val="en-US"/>
          <w14:ligatures w14:val="none"/>
        </w:rPr>
        <w:t xml:space="preserve">Priority Two Overview (Safer Places and Thriving Communities).  </w:t>
      </w:r>
      <w:r w:rsidR="007324D3" w:rsidRPr="000F3F08">
        <w:rPr>
          <w:rFonts w:eastAsia="Calibri"/>
          <w:b/>
          <w:bCs/>
          <w:color w:val="auto"/>
          <w:kern w:val="0"/>
          <w:lang w:val="en-US"/>
          <w14:ligatures w14:val="none"/>
        </w:rPr>
        <w:t xml:space="preserve">  </w:t>
      </w:r>
    </w:p>
    <w:p w14:paraId="1805C1AD" w14:textId="0E4AA0AC" w:rsidR="00E143AD" w:rsidRDefault="00CF3FB7" w:rsidP="00E34D8A">
      <w:pPr>
        <w:pStyle w:val="ListParagraph"/>
        <w:numPr>
          <w:ilvl w:val="1"/>
          <w:numId w:val="3"/>
        </w:numPr>
        <w:spacing w:before="240"/>
        <w:ind w:left="426" w:hanging="426"/>
      </w:pPr>
      <w:r>
        <w:t>The below overview should be considered alongside the Performance Matrix which gives the detail for the individual measures of the Police and Crime Pla</w:t>
      </w:r>
      <w:r w:rsidR="00094C9D">
        <w:t xml:space="preserve">n. </w:t>
      </w:r>
      <w:r w:rsidR="00A56FF7">
        <w:t xml:space="preserve">The summary below focuses on metrics relating to Priority Two in the Plan which is Safer Places and Thriving Communities. </w:t>
      </w:r>
    </w:p>
    <w:p w14:paraId="47BF3B16" w14:textId="2F7F0E7D" w:rsidR="008345A2" w:rsidRDefault="008345A2" w:rsidP="00E34D8A">
      <w:pPr>
        <w:pStyle w:val="ListParagraph"/>
        <w:numPr>
          <w:ilvl w:val="1"/>
          <w:numId w:val="3"/>
        </w:numPr>
        <w:spacing w:before="240"/>
        <w:ind w:left="426" w:hanging="426"/>
      </w:pPr>
      <w:r>
        <w:t xml:space="preserve">The Performance matrix was developed in themes rather than linking performance measures to </w:t>
      </w:r>
      <w:r w:rsidR="00E34D8A">
        <w:t>priorities</w:t>
      </w:r>
      <w:r>
        <w:t xml:space="preserve">, </w:t>
      </w:r>
      <w:r w:rsidR="00E34D8A">
        <w:t>with the understanding that many performance measures span more than one priority.  The below is therefore a look at the measures that mostly speak to priority two.</w:t>
      </w:r>
    </w:p>
    <w:p w14:paraId="2F35CE64" w14:textId="77777777" w:rsidR="00E34D8A" w:rsidRDefault="00E34D8A" w:rsidP="00E34D8A">
      <w:pPr>
        <w:pStyle w:val="ListParagraph"/>
        <w:tabs>
          <w:tab w:val="clear" w:pos="720"/>
        </w:tabs>
        <w:spacing w:before="240"/>
        <w:ind w:left="426" w:firstLine="0"/>
      </w:pPr>
    </w:p>
    <w:p w14:paraId="514CEF05" w14:textId="7E24130C" w:rsidR="00E143AD" w:rsidRPr="003563B5" w:rsidRDefault="00A74DD1" w:rsidP="003563B5">
      <w:pPr>
        <w:pStyle w:val="ListParagraph"/>
        <w:widowControl w:val="0"/>
        <w:numPr>
          <w:ilvl w:val="0"/>
          <w:numId w:val="3"/>
        </w:numPr>
        <w:pBdr>
          <w:bottom w:val="single" w:sz="4" w:space="1" w:color="006F81"/>
        </w:pBdr>
        <w:autoSpaceDE w:val="0"/>
        <w:autoSpaceDN w:val="0"/>
        <w:spacing w:before="0" w:line="240" w:lineRule="auto"/>
        <w:ind w:left="426" w:hanging="426"/>
        <w:rPr>
          <w:rFonts w:eastAsia="Calibri"/>
          <w:b/>
          <w:bCs/>
          <w:color w:val="auto"/>
          <w:kern w:val="0"/>
          <w:lang w:val="en-US"/>
          <w14:ligatures w14:val="none"/>
        </w:rPr>
      </w:pPr>
      <w:bookmarkStart w:id="0" w:name="ThemeOne"/>
      <w:r w:rsidRPr="003563B5">
        <w:rPr>
          <w:rFonts w:eastAsia="Calibri"/>
          <w:b/>
          <w:bCs/>
          <w:color w:val="auto"/>
          <w:kern w:val="0"/>
          <w:lang w:val="en-US"/>
          <w14:ligatures w14:val="none"/>
        </w:rPr>
        <w:t xml:space="preserve">Confidence and Satisfaction </w:t>
      </w:r>
    </w:p>
    <w:p w14:paraId="2F3F7F45" w14:textId="2801732C" w:rsidR="00F25524" w:rsidRPr="002617DA" w:rsidRDefault="003563B5" w:rsidP="003563B5">
      <w:pPr>
        <w:ind w:left="426" w:hanging="426"/>
        <w:rPr>
          <w:color w:val="auto"/>
        </w:rPr>
      </w:pPr>
      <w:r w:rsidRPr="00E34D8A">
        <w:rPr>
          <w:color w:val="auto"/>
        </w:rPr>
        <w:t>2.1</w:t>
      </w:r>
      <w:r>
        <w:rPr>
          <w:b/>
          <w:bCs/>
          <w:color w:val="auto"/>
        </w:rPr>
        <w:tab/>
      </w:r>
      <w:r w:rsidR="002C6F24" w:rsidRPr="002617DA">
        <w:rPr>
          <w:b/>
          <w:bCs/>
          <w:color w:val="auto"/>
        </w:rPr>
        <w:t>Overall confidence</w:t>
      </w:r>
      <w:r w:rsidR="002C6F24" w:rsidRPr="002617DA">
        <w:rPr>
          <w:color w:val="auto"/>
        </w:rPr>
        <w:t xml:space="preserve"> in local police is the measure that is usually quoted from the </w:t>
      </w:r>
      <w:r w:rsidR="00F25524" w:rsidRPr="002617DA">
        <w:rPr>
          <w:color w:val="auto"/>
        </w:rPr>
        <w:t>Crime Survey of England and Wales (CSEW)</w:t>
      </w:r>
      <w:r w:rsidR="002C6F24" w:rsidRPr="002617DA">
        <w:rPr>
          <w:color w:val="auto"/>
        </w:rPr>
        <w:t xml:space="preserve"> data.  For the </w:t>
      </w:r>
      <w:r w:rsidR="002C6F24" w:rsidRPr="002617DA">
        <w:rPr>
          <w:b/>
          <w:bCs/>
          <w:color w:val="auto"/>
        </w:rPr>
        <w:t xml:space="preserve">first time since </w:t>
      </w:r>
      <w:r w:rsidR="00BC5A2F" w:rsidRPr="002617DA">
        <w:rPr>
          <w:b/>
          <w:bCs/>
          <w:color w:val="auto"/>
        </w:rPr>
        <w:t>June 2024,</w:t>
      </w:r>
      <w:r w:rsidR="002C6F24" w:rsidRPr="002617DA">
        <w:rPr>
          <w:color w:val="auto"/>
        </w:rPr>
        <w:t xml:space="preserve"> we have </w:t>
      </w:r>
      <w:r w:rsidR="002C6F24" w:rsidRPr="002617DA">
        <w:rPr>
          <w:b/>
          <w:bCs/>
          <w:color w:val="auto"/>
        </w:rPr>
        <w:t>risen above</w:t>
      </w:r>
      <w:r w:rsidR="002C6F24" w:rsidRPr="002617DA">
        <w:rPr>
          <w:color w:val="auto"/>
        </w:rPr>
        <w:t xml:space="preserve"> the</w:t>
      </w:r>
      <w:r w:rsidR="00F25524" w:rsidRPr="002617DA">
        <w:rPr>
          <w:color w:val="auto"/>
        </w:rPr>
        <w:t xml:space="preserve"> Most Similar Group</w:t>
      </w:r>
      <w:r w:rsidR="002C6F24" w:rsidRPr="002617DA">
        <w:rPr>
          <w:color w:val="auto"/>
        </w:rPr>
        <w:t xml:space="preserve"> </w:t>
      </w:r>
      <w:r w:rsidR="00F25524" w:rsidRPr="002617DA">
        <w:rPr>
          <w:color w:val="auto"/>
        </w:rPr>
        <w:t>(</w:t>
      </w:r>
      <w:r w:rsidR="002C6F24" w:rsidRPr="002617DA">
        <w:rPr>
          <w:b/>
          <w:bCs/>
          <w:color w:val="auto"/>
        </w:rPr>
        <w:t>MSG</w:t>
      </w:r>
      <w:r w:rsidR="00F25524" w:rsidRPr="002617DA">
        <w:rPr>
          <w:b/>
          <w:bCs/>
          <w:color w:val="auto"/>
        </w:rPr>
        <w:t>)</w:t>
      </w:r>
      <w:r w:rsidR="002C6F24" w:rsidRPr="002617DA">
        <w:rPr>
          <w:b/>
          <w:bCs/>
          <w:color w:val="auto"/>
        </w:rPr>
        <w:t xml:space="preserve"> average</w:t>
      </w:r>
      <w:r w:rsidR="008D7ABA" w:rsidRPr="002617DA">
        <w:rPr>
          <w:color w:val="auto"/>
        </w:rPr>
        <w:t xml:space="preserve">.  </w:t>
      </w:r>
    </w:p>
    <w:p w14:paraId="1D8442E7" w14:textId="305C2C73" w:rsidR="002C6F24" w:rsidRPr="002617DA" w:rsidRDefault="008D7ABA" w:rsidP="003563B5">
      <w:pPr>
        <w:ind w:left="426"/>
        <w:rPr>
          <w:color w:val="auto"/>
        </w:rPr>
      </w:pPr>
      <w:r w:rsidRPr="002617DA">
        <w:rPr>
          <w:color w:val="auto"/>
        </w:rPr>
        <w:t xml:space="preserve">This </w:t>
      </w:r>
      <w:r w:rsidR="00F25524" w:rsidRPr="002617DA">
        <w:rPr>
          <w:color w:val="auto"/>
        </w:rPr>
        <w:t>seems to correlate to the next measure where s</w:t>
      </w:r>
      <w:r w:rsidR="002C6F24" w:rsidRPr="002617DA">
        <w:rPr>
          <w:color w:val="auto"/>
        </w:rPr>
        <w:t xml:space="preserve">ince the pandemic the percentage of those who think the </w:t>
      </w:r>
      <w:r w:rsidR="002C6F24" w:rsidRPr="002617DA">
        <w:rPr>
          <w:b/>
          <w:bCs/>
          <w:color w:val="auto"/>
        </w:rPr>
        <w:t>police are doing an excellent job</w:t>
      </w:r>
      <w:r w:rsidR="002C6F24" w:rsidRPr="002617DA">
        <w:rPr>
          <w:color w:val="auto"/>
        </w:rPr>
        <w:t xml:space="preserve"> in their local area has been below MSG average, apart from the </w:t>
      </w:r>
      <w:r w:rsidR="002C6F24" w:rsidRPr="002617DA">
        <w:rPr>
          <w:b/>
          <w:bCs/>
          <w:color w:val="auto"/>
        </w:rPr>
        <w:t>last two quarters</w:t>
      </w:r>
      <w:r w:rsidR="002C6F24" w:rsidRPr="002617DA">
        <w:rPr>
          <w:color w:val="auto"/>
        </w:rPr>
        <w:t xml:space="preserve"> where we have now </w:t>
      </w:r>
      <w:r w:rsidR="002C6F24" w:rsidRPr="002617DA">
        <w:rPr>
          <w:b/>
          <w:bCs/>
          <w:color w:val="auto"/>
        </w:rPr>
        <w:t>risen above MSG average</w:t>
      </w:r>
      <w:r w:rsidR="002C6F24" w:rsidRPr="002617DA">
        <w:rPr>
          <w:color w:val="auto"/>
        </w:rPr>
        <w:t xml:space="preserve"> and are now close to top for this measure</w:t>
      </w:r>
      <w:r w:rsidR="002617DA">
        <w:rPr>
          <w:color w:val="auto"/>
        </w:rPr>
        <w:t>.</w:t>
      </w:r>
    </w:p>
    <w:p w14:paraId="7D60A5F3" w14:textId="3706CBE0" w:rsidR="00BB77C1" w:rsidRPr="002617DA" w:rsidRDefault="000F1805" w:rsidP="003563B5">
      <w:pPr>
        <w:ind w:left="426"/>
        <w:rPr>
          <w:color w:val="auto"/>
        </w:rPr>
      </w:pPr>
      <w:r w:rsidRPr="002617DA">
        <w:rPr>
          <w:color w:val="auto"/>
        </w:rPr>
        <w:t xml:space="preserve">The percentage of the public that agree that the </w:t>
      </w:r>
      <w:r w:rsidRPr="002617DA">
        <w:rPr>
          <w:b/>
          <w:bCs/>
          <w:color w:val="auto"/>
        </w:rPr>
        <w:t>police understand local concerns</w:t>
      </w:r>
      <w:r w:rsidRPr="002617DA">
        <w:rPr>
          <w:color w:val="auto"/>
        </w:rPr>
        <w:t xml:space="preserve"> </w:t>
      </w:r>
      <w:r w:rsidR="002270B6" w:rsidRPr="002617DA">
        <w:rPr>
          <w:color w:val="auto"/>
        </w:rPr>
        <w:t xml:space="preserve">is </w:t>
      </w:r>
      <w:r w:rsidR="002270B6" w:rsidRPr="002617DA">
        <w:rPr>
          <w:b/>
          <w:bCs/>
          <w:color w:val="auto"/>
        </w:rPr>
        <w:t xml:space="preserve">level </w:t>
      </w:r>
      <w:r w:rsidR="002270B6" w:rsidRPr="002617DA">
        <w:rPr>
          <w:color w:val="auto"/>
        </w:rPr>
        <w:t xml:space="preserve">with </w:t>
      </w:r>
      <w:r w:rsidR="002270B6" w:rsidRPr="002617DA">
        <w:rPr>
          <w:b/>
          <w:bCs/>
          <w:color w:val="auto"/>
        </w:rPr>
        <w:t>the MSG</w:t>
      </w:r>
      <w:r w:rsidR="00F25524" w:rsidRPr="002617DA">
        <w:rPr>
          <w:b/>
          <w:bCs/>
          <w:color w:val="auto"/>
        </w:rPr>
        <w:t xml:space="preserve"> </w:t>
      </w:r>
      <w:r w:rsidR="002270B6" w:rsidRPr="002617DA">
        <w:rPr>
          <w:b/>
          <w:bCs/>
          <w:color w:val="auto"/>
        </w:rPr>
        <w:t>average</w:t>
      </w:r>
      <w:r w:rsidR="002270B6" w:rsidRPr="002617DA">
        <w:rPr>
          <w:color w:val="auto"/>
        </w:rPr>
        <w:t xml:space="preserve"> at 5</w:t>
      </w:r>
      <w:r w:rsidR="00720779" w:rsidRPr="002617DA">
        <w:rPr>
          <w:color w:val="auto"/>
        </w:rPr>
        <w:t>8.4%</w:t>
      </w:r>
      <w:r w:rsidR="002270B6" w:rsidRPr="002617DA">
        <w:rPr>
          <w:color w:val="auto"/>
        </w:rPr>
        <w:t xml:space="preserve">. </w:t>
      </w:r>
      <w:r w:rsidR="00720779" w:rsidRPr="002617DA">
        <w:rPr>
          <w:color w:val="auto"/>
        </w:rPr>
        <w:t xml:space="preserve">However, the percentage of those who agree that </w:t>
      </w:r>
      <w:r w:rsidR="00720779" w:rsidRPr="002617DA">
        <w:rPr>
          <w:b/>
          <w:bCs/>
          <w:color w:val="auto"/>
        </w:rPr>
        <w:t xml:space="preserve">the police and local council are </w:t>
      </w:r>
      <w:r w:rsidR="00880932" w:rsidRPr="002617DA">
        <w:rPr>
          <w:b/>
          <w:bCs/>
          <w:color w:val="auto"/>
        </w:rPr>
        <w:t>dealing</w:t>
      </w:r>
      <w:r w:rsidR="00720779" w:rsidRPr="002617DA">
        <w:rPr>
          <w:b/>
          <w:bCs/>
          <w:color w:val="auto"/>
        </w:rPr>
        <w:t xml:space="preserve"> with the anti-social behaviour and crime issues</w:t>
      </w:r>
      <w:r w:rsidR="00720779" w:rsidRPr="002617DA">
        <w:rPr>
          <w:color w:val="auto"/>
        </w:rPr>
        <w:t xml:space="preserve"> that matter in the local area is </w:t>
      </w:r>
      <w:r w:rsidR="00720779" w:rsidRPr="002617DA">
        <w:rPr>
          <w:b/>
          <w:bCs/>
          <w:color w:val="auto"/>
        </w:rPr>
        <w:t>below the MSG average</w:t>
      </w:r>
      <w:r w:rsidR="00720779" w:rsidRPr="002617DA">
        <w:rPr>
          <w:color w:val="auto"/>
        </w:rPr>
        <w:t xml:space="preserve"> </w:t>
      </w:r>
      <w:r w:rsidR="00E1183B" w:rsidRPr="002617DA">
        <w:rPr>
          <w:color w:val="auto"/>
        </w:rPr>
        <w:t xml:space="preserve">at 43.3%, although this is currently on an </w:t>
      </w:r>
      <w:r w:rsidR="00E1183B" w:rsidRPr="002617DA">
        <w:rPr>
          <w:b/>
          <w:bCs/>
          <w:color w:val="auto"/>
        </w:rPr>
        <w:t>upward trajectory.</w:t>
      </w:r>
      <w:r w:rsidR="00E1183B" w:rsidRPr="002617DA">
        <w:rPr>
          <w:color w:val="auto"/>
        </w:rPr>
        <w:t xml:space="preserve"> </w:t>
      </w:r>
    </w:p>
    <w:p w14:paraId="4E539E38" w14:textId="4BDA3DDE" w:rsidR="00880932" w:rsidRPr="002617DA" w:rsidRDefault="003563B5" w:rsidP="003563B5">
      <w:pPr>
        <w:tabs>
          <w:tab w:val="left" w:pos="6915"/>
        </w:tabs>
        <w:ind w:left="426" w:hanging="426"/>
        <w:rPr>
          <w:color w:val="auto"/>
        </w:rPr>
      </w:pPr>
      <w:proofErr w:type="gramStart"/>
      <w:r>
        <w:rPr>
          <w:color w:val="auto"/>
        </w:rPr>
        <w:lastRenderedPageBreak/>
        <w:t xml:space="preserve">2.2  </w:t>
      </w:r>
      <w:r w:rsidR="00880932" w:rsidRPr="002617DA">
        <w:rPr>
          <w:color w:val="auto"/>
        </w:rPr>
        <w:t>The</w:t>
      </w:r>
      <w:proofErr w:type="gramEnd"/>
      <w:r w:rsidR="00880932" w:rsidRPr="002617DA">
        <w:rPr>
          <w:color w:val="auto"/>
        </w:rPr>
        <w:t xml:space="preserve"> percentage of residents who feel that </w:t>
      </w:r>
      <w:r w:rsidR="00880932" w:rsidRPr="002617DA">
        <w:rPr>
          <w:b/>
          <w:bCs/>
          <w:color w:val="auto"/>
        </w:rPr>
        <w:t xml:space="preserve">ASB is either a very big or </w:t>
      </w:r>
      <w:proofErr w:type="gramStart"/>
      <w:r w:rsidR="00880932" w:rsidRPr="002617DA">
        <w:rPr>
          <w:b/>
          <w:bCs/>
          <w:color w:val="auto"/>
        </w:rPr>
        <w:t>fairly big</w:t>
      </w:r>
      <w:proofErr w:type="gramEnd"/>
      <w:r w:rsidR="00880932" w:rsidRPr="002617DA">
        <w:rPr>
          <w:b/>
          <w:bCs/>
          <w:color w:val="auto"/>
        </w:rPr>
        <w:t xml:space="preserve"> problem</w:t>
      </w:r>
      <w:r w:rsidR="00880932" w:rsidRPr="002617DA">
        <w:rPr>
          <w:color w:val="auto"/>
        </w:rPr>
        <w:t xml:space="preserve"> in their area stands at </w:t>
      </w:r>
      <w:r w:rsidR="00DA4E12" w:rsidRPr="002617DA">
        <w:rPr>
          <w:color w:val="auto"/>
        </w:rPr>
        <w:t xml:space="preserve">10.5% which is </w:t>
      </w:r>
      <w:r w:rsidR="00DA4E12" w:rsidRPr="002617DA">
        <w:rPr>
          <w:b/>
          <w:bCs/>
          <w:color w:val="auto"/>
        </w:rPr>
        <w:t>higher than the MSG average</w:t>
      </w:r>
      <w:r w:rsidR="00DA4E12" w:rsidRPr="002617DA">
        <w:rPr>
          <w:color w:val="auto"/>
        </w:rPr>
        <w:t xml:space="preserve"> of 9.4%. </w:t>
      </w:r>
    </w:p>
    <w:bookmarkEnd w:id="0"/>
    <w:p w14:paraId="33FBD274" w14:textId="0E38FF8A" w:rsidR="00790402" w:rsidRPr="002617DA" w:rsidRDefault="003563B5" w:rsidP="003563B5">
      <w:pPr>
        <w:tabs>
          <w:tab w:val="left" w:pos="6915"/>
        </w:tabs>
        <w:ind w:left="426" w:hanging="426"/>
        <w:rPr>
          <w:color w:val="auto"/>
        </w:rPr>
      </w:pPr>
      <w:r>
        <w:rPr>
          <w:color w:val="auto"/>
        </w:rPr>
        <w:t xml:space="preserve">2.3  </w:t>
      </w:r>
      <w:r w:rsidR="00CF6A95" w:rsidRPr="002617DA">
        <w:rPr>
          <w:color w:val="auto"/>
        </w:rPr>
        <w:t xml:space="preserve">The latest </w:t>
      </w:r>
      <w:r w:rsidR="00CF6A95" w:rsidRPr="002617DA">
        <w:rPr>
          <w:b/>
          <w:bCs/>
          <w:color w:val="auto"/>
        </w:rPr>
        <w:t>victim satisfaction rate</w:t>
      </w:r>
      <w:r w:rsidR="00CF6A95" w:rsidRPr="002617DA">
        <w:rPr>
          <w:color w:val="auto"/>
        </w:rPr>
        <w:t xml:space="preserve"> stands at 73.0% for the 12 months to December 2025. The latest position is a 0.6 percentage point reduction on the previous 12-month </w:t>
      </w:r>
      <w:r w:rsidR="00BC5A2F" w:rsidRPr="002617DA">
        <w:rPr>
          <w:color w:val="auto"/>
        </w:rPr>
        <w:t>period,</w:t>
      </w:r>
      <w:r w:rsidR="00CF6A95" w:rsidRPr="002617DA">
        <w:rPr>
          <w:color w:val="auto"/>
        </w:rPr>
        <w:t xml:space="preserve"> but this change is </w:t>
      </w:r>
      <w:r w:rsidR="00CF6A95" w:rsidRPr="002617DA">
        <w:rPr>
          <w:b/>
          <w:bCs/>
          <w:color w:val="auto"/>
        </w:rPr>
        <w:t>not statistically significant</w:t>
      </w:r>
      <w:r w:rsidR="00CF6A95" w:rsidRPr="002617DA">
        <w:rPr>
          <w:color w:val="auto"/>
        </w:rPr>
        <w:t>.</w:t>
      </w:r>
    </w:p>
    <w:p w14:paraId="1108752F" w14:textId="51572DCD" w:rsidR="002A06F5" w:rsidRPr="002617DA" w:rsidRDefault="00095D1E" w:rsidP="00095D1E">
      <w:pPr>
        <w:ind w:left="426" w:hanging="426"/>
        <w:rPr>
          <w:color w:val="auto"/>
        </w:rPr>
      </w:pPr>
      <w:r w:rsidRPr="00BC5A2F">
        <w:rPr>
          <w:color w:val="auto"/>
        </w:rPr>
        <w:t>2.4</w:t>
      </w:r>
      <w:r>
        <w:rPr>
          <w:b/>
          <w:bCs/>
          <w:color w:val="auto"/>
        </w:rPr>
        <w:t xml:space="preserve"> </w:t>
      </w:r>
      <w:r w:rsidR="002A06F5" w:rsidRPr="00542F38">
        <w:rPr>
          <w:b/>
          <w:bCs/>
          <w:color w:val="auto"/>
        </w:rPr>
        <w:t>National context</w:t>
      </w:r>
      <w:r w:rsidR="002A06F5" w:rsidRPr="002617DA">
        <w:rPr>
          <w:color w:val="auto"/>
        </w:rPr>
        <w:t xml:space="preserve"> can be drawn from a </w:t>
      </w:r>
      <w:r w:rsidR="007E3975">
        <w:rPr>
          <w:color w:val="auto"/>
        </w:rPr>
        <w:t xml:space="preserve">recent </w:t>
      </w:r>
      <w:r w:rsidR="002A06F5" w:rsidRPr="002617DA">
        <w:rPr>
          <w:color w:val="auto"/>
        </w:rPr>
        <w:t xml:space="preserve">YouGov </w:t>
      </w:r>
      <w:r w:rsidR="007E3975">
        <w:rPr>
          <w:color w:val="auto"/>
        </w:rPr>
        <w:t>article which was</w:t>
      </w:r>
      <w:r w:rsidR="00937A0C" w:rsidRPr="002617DA">
        <w:rPr>
          <w:color w:val="auto"/>
        </w:rPr>
        <w:t xml:space="preserve"> </w:t>
      </w:r>
      <w:r w:rsidR="00E404A8" w:rsidRPr="002617DA">
        <w:rPr>
          <w:color w:val="auto"/>
        </w:rPr>
        <w:t>published on 30</w:t>
      </w:r>
      <w:r w:rsidR="00E404A8" w:rsidRPr="002617DA">
        <w:rPr>
          <w:color w:val="auto"/>
          <w:vertAlign w:val="superscript"/>
        </w:rPr>
        <w:t>th</w:t>
      </w:r>
      <w:r w:rsidR="00E404A8" w:rsidRPr="002617DA">
        <w:rPr>
          <w:color w:val="auto"/>
        </w:rPr>
        <w:t xml:space="preserve"> March </w:t>
      </w:r>
      <w:r w:rsidR="007E3975">
        <w:rPr>
          <w:color w:val="auto"/>
        </w:rPr>
        <w:t xml:space="preserve">2026 and </w:t>
      </w:r>
      <w:r w:rsidR="00E404A8" w:rsidRPr="002617DA">
        <w:rPr>
          <w:color w:val="auto"/>
        </w:rPr>
        <w:t xml:space="preserve">looks at the public view of policing and crime in England and Wales.  Amongst </w:t>
      </w:r>
      <w:r w:rsidR="00A7747E" w:rsidRPr="002617DA">
        <w:rPr>
          <w:color w:val="auto"/>
        </w:rPr>
        <w:t>several</w:t>
      </w:r>
      <w:r w:rsidR="00E404A8" w:rsidRPr="002617DA">
        <w:rPr>
          <w:color w:val="auto"/>
        </w:rPr>
        <w:t xml:space="preserve"> statistics, they look at the </w:t>
      </w:r>
      <w:r w:rsidR="00E404A8" w:rsidRPr="002617DA">
        <w:rPr>
          <w:b/>
          <w:bCs/>
          <w:color w:val="auto"/>
        </w:rPr>
        <w:t>satisfaction of victims</w:t>
      </w:r>
      <w:r w:rsidR="005A6BE5" w:rsidRPr="002617DA">
        <w:rPr>
          <w:color w:val="auto"/>
        </w:rPr>
        <w:t xml:space="preserve"> </w:t>
      </w:r>
      <w:r w:rsidR="00BC316B" w:rsidRPr="002617DA">
        <w:rPr>
          <w:color w:val="auto"/>
        </w:rPr>
        <w:t xml:space="preserve">and whether they are satisfied with the way their crime was dealt with.  The below chart shows the areas of satisfaction broken down and they </w:t>
      </w:r>
      <w:r w:rsidR="00BC316B" w:rsidRPr="002617DA">
        <w:rPr>
          <w:b/>
          <w:bCs/>
          <w:color w:val="auto"/>
        </w:rPr>
        <w:t>broadly follow</w:t>
      </w:r>
      <w:r w:rsidR="00BC316B" w:rsidRPr="002617DA">
        <w:rPr>
          <w:color w:val="auto"/>
        </w:rPr>
        <w:t xml:space="preserve"> the West Yorkshire pattern, with </w:t>
      </w:r>
      <w:r w:rsidR="00BC316B" w:rsidRPr="002617DA">
        <w:rPr>
          <w:b/>
          <w:bCs/>
          <w:color w:val="auto"/>
        </w:rPr>
        <w:t>higher satisfaction rates</w:t>
      </w:r>
      <w:r w:rsidR="00BC316B" w:rsidRPr="002617DA">
        <w:rPr>
          <w:color w:val="auto"/>
        </w:rPr>
        <w:t xml:space="preserve"> for the </w:t>
      </w:r>
      <w:r w:rsidR="00C02D16" w:rsidRPr="002617DA">
        <w:rPr>
          <w:color w:val="auto"/>
        </w:rPr>
        <w:t xml:space="preserve">treatment by the police and the response, but lower satisfaction with how the crime was handled.  </w:t>
      </w:r>
      <w:r w:rsidR="005A6BE5" w:rsidRPr="002617DA">
        <w:rPr>
          <w:color w:val="auto"/>
        </w:rPr>
        <w:t xml:space="preserve"> </w:t>
      </w:r>
    </w:p>
    <w:p w14:paraId="1FD3A622" w14:textId="56275843" w:rsidR="00EB38BA" w:rsidRPr="002617DA" w:rsidRDefault="00F30E8A" w:rsidP="00DA05C5">
      <w:pPr>
        <w:tabs>
          <w:tab w:val="left" w:pos="6915"/>
        </w:tabs>
        <w:rPr>
          <w:color w:val="auto"/>
        </w:rPr>
      </w:pPr>
      <w:r w:rsidRPr="002617DA">
        <w:rPr>
          <w:noProof/>
          <w:color w:val="auto"/>
        </w:rPr>
        <w:drawing>
          <wp:inline distT="0" distB="0" distL="0" distR="0" wp14:anchorId="3E71F787" wp14:editId="4AF2A3F0">
            <wp:extent cx="5731510" cy="3470910"/>
            <wp:effectExtent l="0" t="0" r="2540" b="0"/>
            <wp:docPr id="413994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9436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583BD" w14:textId="4B806C40" w:rsidR="005C47F4" w:rsidRPr="002617DA" w:rsidRDefault="005C47F4" w:rsidP="002D2861">
      <w:pPr>
        <w:tabs>
          <w:tab w:val="left" w:pos="6915"/>
        </w:tabs>
        <w:ind w:left="426"/>
        <w:rPr>
          <w:color w:val="auto"/>
        </w:rPr>
      </w:pPr>
      <w:r w:rsidRPr="002617DA">
        <w:rPr>
          <w:color w:val="auto"/>
        </w:rPr>
        <w:t xml:space="preserve">One interesting difference is that </w:t>
      </w:r>
      <w:r w:rsidRPr="002617DA">
        <w:rPr>
          <w:b/>
          <w:bCs/>
          <w:color w:val="auto"/>
        </w:rPr>
        <w:t>60.3%</w:t>
      </w:r>
      <w:r w:rsidRPr="002617DA">
        <w:rPr>
          <w:color w:val="auto"/>
        </w:rPr>
        <w:t xml:space="preserve"> in </w:t>
      </w:r>
      <w:r w:rsidRPr="002617DA">
        <w:rPr>
          <w:b/>
          <w:bCs/>
          <w:color w:val="auto"/>
        </w:rPr>
        <w:t>West Yorkshire</w:t>
      </w:r>
      <w:r w:rsidRPr="002617DA">
        <w:rPr>
          <w:color w:val="auto"/>
        </w:rPr>
        <w:t xml:space="preserve"> were </w:t>
      </w:r>
      <w:r w:rsidRPr="002617DA">
        <w:rPr>
          <w:b/>
          <w:bCs/>
          <w:color w:val="auto"/>
        </w:rPr>
        <w:t>satisfied with the outcome</w:t>
      </w:r>
      <w:r w:rsidRPr="002617DA">
        <w:rPr>
          <w:color w:val="auto"/>
        </w:rPr>
        <w:t xml:space="preserve"> of their investigation, whereas </w:t>
      </w:r>
      <w:r w:rsidR="00A7747E">
        <w:rPr>
          <w:color w:val="auto"/>
        </w:rPr>
        <w:t xml:space="preserve">across England and Wales </w:t>
      </w:r>
      <w:r w:rsidRPr="002617DA">
        <w:rPr>
          <w:color w:val="auto"/>
        </w:rPr>
        <w:t xml:space="preserve">this is </w:t>
      </w:r>
      <w:r w:rsidRPr="002617DA">
        <w:rPr>
          <w:b/>
          <w:bCs/>
          <w:color w:val="auto"/>
        </w:rPr>
        <w:t>26%</w:t>
      </w:r>
      <w:r w:rsidRPr="002617DA">
        <w:rPr>
          <w:color w:val="auto"/>
        </w:rPr>
        <w:t xml:space="preserve"> according to </w:t>
      </w:r>
      <w:r w:rsidRPr="002617DA">
        <w:rPr>
          <w:b/>
          <w:bCs/>
          <w:color w:val="auto"/>
        </w:rPr>
        <w:t>YouGov.</w:t>
      </w:r>
      <w:r w:rsidRPr="002617DA">
        <w:rPr>
          <w:color w:val="auto"/>
        </w:rPr>
        <w:t xml:space="preserve">  </w:t>
      </w:r>
    </w:p>
    <w:p w14:paraId="79B00EA6" w14:textId="52BDB39A" w:rsidR="005C47F4" w:rsidRPr="00542F38" w:rsidRDefault="00275610" w:rsidP="002D2861">
      <w:pPr>
        <w:tabs>
          <w:tab w:val="left" w:pos="6915"/>
        </w:tabs>
        <w:ind w:left="426"/>
        <w:rPr>
          <w:color w:val="auto"/>
          <w:sz w:val="22"/>
          <w:szCs w:val="22"/>
        </w:rPr>
      </w:pPr>
      <w:r w:rsidRPr="00542F38">
        <w:rPr>
          <w:color w:val="auto"/>
          <w:sz w:val="22"/>
          <w:szCs w:val="22"/>
        </w:rPr>
        <w:t>*</w:t>
      </w:r>
      <w:r w:rsidR="005C47F4" w:rsidRPr="00542F38">
        <w:rPr>
          <w:color w:val="auto"/>
          <w:sz w:val="22"/>
          <w:szCs w:val="22"/>
        </w:rPr>
        <w:t xml:space="preserve">For context the YouGov poll was from 453 victims of crime in England and Wales whereas the West Yorkshire result is from </w:t>
      </w:r>
      <w:r w:rsidR="00B61620" w:rsidRPr="00542F38">
        <w:rPr>
          <w:color w:val="auto"/>
          <w:sz w:val="22"/>
          <w:szCs w:val="22"/>
        </w:rPr>
        <w:t>10,125</w:t>
      </w:r>
      <w:r w:rsidR="00804FF0" w:rsidRPr="00542F38">
        <w:rPr>
          <w:color w:val="auto"/>
          <w:sz w:val="22"/>
          <w:szCs w:val="22"/>
        </w:rPr>
        <w:t xml:space="preserve"> victims</w:t>
      </w:r>
      <w:r w:rsidRPr="00542F38">
        <w:rPr>
          <w:color w:val="auto"/>
          <w:sz w:val="22"/>
          <w:szCs w:val="22"/>
        </w:rPr>
        <w:t>*</w:t>
      </w:r>
    </w:p>
    <w:p w14:paraId="676FE85A" w14:textId="6D3FE8BA" w:rsidR="009A77FA" w:rsidRPr="002617DA" w:rsidRDefault="002D2861" w:rsidP="002D2861">
      <w:pPr>
        <w:tabs>
          <w:tab w:val="left" w:pos="6663"/>
        </w:tabs>
        <w:ind w:left="426" w:hanging="426"/>
        <w:rPr>
          <w:color w:val="auto"/>
        </w:rPr>
      </w:pPr>
      <w:r>
        <w:rPr>
          <w:color w:val="auto"/>
        </w:rPr>
        <w:t>2.</w:t>
      </w:r>
      <w:r w:rsidR="00BC5A2F">
        <w:rPr>
          <w:color w:val="auto"/>
        </w:rPr>
        <w:t>5</w:t>
      </w:r>
      <w:r>
        <w:rPr>
          <w:color w:val="auto"/>
        </w:rPr>
        <w:t xml:space="preserve">  </w:t>
      </w:r>
      <w:r w:rsidR="00A57E3A" w:rsidRPr="002617DA">
        <w:rPr>
          <w:color w:val="auto"/>
        </w:rPr>
        <w:t xml:space="preserve">With regard to </w:t>
      </w:r>
      <w:r w:rsidR="00A57E3A" w:rsidRPr="002617DA">
        <w:rPr>
          <w:b/>
          <w:bCs/>
          <w:color w:val="auto"/>
        </w:rPr>
        <w:t>Response to Incidents</w:t>
      </w:r>
      <w:r w:rsidR="00A57E3A" w:rsidRPr="002617DA">
        <w:rPr>
          <w:color w:val="auto"/>
        </w:rPr>
        <w:t xml:space="preserve">, </w:t>
      </w:r>
      <w:r w:rsidR="00AA65A7" w:rsidRPr="002617DA">
        <w:rPr>
          <w:color w:val="auto"/>
        </w:rPr>
        <w:t>we find that West Yorkshire is currently on a reducing trend</w:t>
      </w:r>
      <w:r w:rsidR="00395EA7" w:rsidRPr="002617DA">
        <w:rPr>
          <w:color w:val="auto"/>
        </w:rPr>
        <w:t xml:space="preserve"> with </w:t>
      </w:r>
      <w:r w:rsidR="00275610" w:rsidRPr="002617DA">
        <w:rPr>
          <w:b/>
          <w:bCs/>
          <w:color w:val="auto"/>
        </w:rPr>
        <w:t>e</w:t>
      </w:r>
      <w:r w:rsidR="00395EA7" w:rsidRPr="002617DA">
        <w:rPr>
          <w:b/>
          <w:bCs/>
          <w:color w:val="auto"/>
        </w:rPr>
        <w:t>mergency incidents</w:t>
      </w:r>
      <w:r w:rsidR="00395EA7" w:rsidRPr="002617DA">
        <w:rPr>
          <w:color w:val="auto"/>
        </w:rPr>
        <w:t xml:space="preserve"> at </w:t>
      </w:r>
      <w:r w:rsidR="002D4018" w:rsidRPr="002617DA">
        <w:rPr>
          <w:b/>
          <w:bCs/>
          <w:color w:val="auto"/>
        </w:rPr>
        <w:t>81.8%</w:t>
      </w:r>
      <w:r w:rsidR="002D4018" w:rsidRPr="002617DA">
        <w:rPr>
          <w:color w:val="auto"/>
        </w:rPr>
        <w:t xml:space="preserve"> </w:t>
      </w:r>
      <w:r w:rsidR="00804FF0" w:rsidRPr="002617DA">
        <w:rPr>
          <w:color w:val="auto"/>
        </w:rPr>
        <w:t xml:space="preserve">(compared to 86.1% a year ago) and </w:t>
      </w:r>
      <w:r w:rsidR="008C1AE7" w:rsidRPr="002617DA">
        <w:rPr>
          <w:b/>
          <w:bCs/>
          <w:color w:val="auto"/>
        </w:rPr>
        <w:t>68%</w:t>
      </w:r>
      <w:r w:rsidR="008C1AE7" w:rsidRPr="002617DA">
        <w:rPr>
          <w:color w:val="auto"/>
        </w:rPr>
        <w:t xml:space="preserve"> of </w:t>
      </w:r>
      <w:r w:rsidR="008C1AE7" w:rsidRPr="002617DA">
        <w:rPr>
          <w:b/>
          <w:bCs/>
          <w:color w:val="auto"/>
        </w:rPr>
        <w:t>priority incidents</w:t>
      </w:r>
      <w:r w:rsidR="008C1AE7" w:rsidRPr="002617DA">
        <w:rPr>
          <w:color w:val="auto"/>
        </w:rPr>
        <w:t xml:space="preserve"> compared with</w:t>
      </w:r>
      <w:r w:rsidR="00154919" w:rsidRPr="002617DA">
        <w:rPr>
          <w:color w:val="auto"/>
        </w:rPr>
        <w:t xml:space="preserve"> 85.7%.</w:t>
      </w:r>
    </w:p>
    <w:p w14:paraId="23360149" w14:textId="144C84BD" w:rsidR="00154919" w:rsidRPr="002617DA" w:rsidRDefault="00154919" w:rsidP="002D2861">
      <w:pPr>
        <w:tabs>
          <w:tab w:val="left" w:pos="6915"/>
        </w:tabs>
        <w:ind w:left="426"/>
        <w:rPr>
          <w:color w:val="auto"/>
        </w:rPr>
      </w:pPr>
      <w:r w:rsidRPr="002617DA">
        <w:rPr>
          <w:color w:val="auto"/>
        </w:rPr>
        <w:lastRenderedPageBreak/>
        <w:t xml:space="preserve">West Yorkshire Police did have </w:t>
      </w:r>
      <w:r w:rsidRPr="002617DA">
        <w:rPr>
          <w:b/>
          <w:bCs/>
          <w:color w:val="auto"/>
        </w:rPr>
        <w:t>all domestic incidents</w:t>
      </w:r>
      <w:r w:rsidRPr="002617DA">
        <w:rPr>
          <w:color w:val="auto"/>
        </w:rPr>
        <w:t xml:space="preserve"> classed as </w:t>
      </w:r>
      <w:r w:rsidRPr="002617DA">
        <w:rPr>
          <w:b/>
          <w:bCs/>
          <w:color w:val="auto"/>
        </w:rPr>
        <w:t>priority incidents</w:t>
      </w:r>
      <w:r w:rsidRPr="002617DA">
        <w:rPr>
          <w:color w:val="auto"/>
        </w:rPr>
        <w:t xml:space="preserve"> </w:t>
      </w:r>
      <w:r w:rsidR="00D270EE" w:rsidRPr="002617DA">
        <w:rPr>
          <w:color w:val="auto"/>
        </w:rPr>
        <w:t>and th</w:t>
      </w:r>
      <w:r w:rsidR="00542F38">
        <w:rPr>
          <w:color w:val="auto"/>
        </w:rPr>
        <w:t>is</w:t>
      </w:r>
      <w:r w:rsidR="00D270EE" w:rsidRPr="002617DA">
        <w:rPr>
          <w:color w:val="auto"/>
        </w:rPr>
        <w:t xml:space="preserve"> increase in number is clear from February 2025, but due to the negative effect on </w:t>
      </w:r>
      <w:r w:rsidR="005A337F" w:rsidRPr="002617DA">
        <w:rPr>
          <w:color w:val="auto"/>
        </w:rPr>
        <w:t xml:space="preserve">response, </w:t>
      </w:r>
      <w:r w:rsidR="005A337F" w:rsidRPr="002617DA">
        <w:rPr>
          <w:b/>
          <w:bCs/>
          <w:color w:val="auto"/>
        </w:rPr>
        <w:t xml:space="preserve">this </w:t>
      </w:r>
      <w:r w:rsidR="0010427E" w:rsidRPr="002617DA">
        <w:rPr>
          <w:b/>
          <w:bCs/>
          <w:color w:val="auto"/>
        </w:rPr>
        <w:t xml:space="preserve">pilot </w:t>
      </w:r>
      <w:r w:rsidR="005A337F" w:rsidRPr="002617DA">
        <w:rPr>
          <w:b/>
          <w:bCs/>
          <w:color w:val="auto"/>
        </w:rPr>
        <w:t>was withdrawn</w:t>
      </w:r>
      <w:r w:rsidR="005A337F" w:rsidRPr="002617DA">
        <w:rPr>
          <w:color w:val="auto"/>
        </w:rPr>
        <w:t xml:space="preserve"> </w:t>
      </w:r>
      <w:r w:rsidR="0010427E" w:rsidRPr="002617DA">
        <w:rPr>
          <w:color w:val="auto"/>
        </w:rPr>
        <w:t xml:space="preserve">and the decrease in numbers can be seen, </w:t>
      </w:r>
      <w:r w:rsidR="00275610" w:rsidRPr="002617DA">
        <w:rPr>
          <w:color w:val="auto"/>
        </w:rPr>
        <w:t>so the</w:t>
      </w:r>
      <w:r w:rsidR="0010427E" w:rsidRPr="002617DA">
        <w:rPr>
          <w:color w:val="auto"/>
        </w:rPr>
        <w:t xml:space="preserve"> </w:t>
      </w:r>
      <w:r w:rsidR="0010427E" w:rsidRPr="002617DA">
        <w:rPr>
          <w:b/>
          <w:bCs/>
          <w:color w:val="auto"/>
        </w:rPr>
        <w:t>drop in attendance</w:t>
      </w:r>
      <w:r w:rsidR="00275610" w:rsidRPr="002617DA">
        <w:rPr>
          <w:b/>
          <w:bCs/>
          <w:color w:val="auto"/>
        </w:rPr>
        <w:t xml:space="preserve"> rates</w:t>
      </w:r>
      <w:r w:rsidR="0010427E" w:rsidRPr="002617DA">
        <w:rPr>
          <w:color w:val="auto"/>
        </w:rPr>
        <w:t xml:space="preserve"> has </w:t>
      </w:r>
      <w:r w:rsidR="0010427E" w:rsidRPr="002617DA">
        <w:rPr>
          <w:b/>
          <w:bCs/>
          <w:color w:val="auto"/>
        </w:rPr>
        <w:t>now stabilised</w:t>
      </w:r>
      <w:r w:rsidR="0010427E" w:rsidRPr="002617DA">
        <w:rPr>
          <w:color w:val="auto"/>
        </w:rPr>
        <w:t xml:space="preserve"> and we </w:t>
      </w:r>
      <w:r w:rsidR="0010427E" w:rsidRPr="002617DA">
        <w:rPr>
          <w:b/>
          <w:bCs/>
          <w:color w:val="auto"/>
        </w:rPr>
        <w:t>expect this to rise</w:t>
      </w:r>
      <w:r w:rsidR="0010427E" w:rsidRPr="002617DA">
        <w:rPr>
          <w:color w:val="auto"/>
        </w:rPr>
        <w:t xml:space="preserve"> in the future.</w:t>
      </w:r>
    </w:p>
    <w:p w14:paraId="54DAD011" w14:textId="77777777" w:rsidR="0010427E" w:rsidRPr="002617DA" w:rsidRDefault="0010427E" w:rsidP="00DA05C5">
      <w:pPr>
        <w:tabs>
          <w:tab w:val="left" w:pos="6915"/>
        </w:tabs>
        <w:rPr>
          <w:color w:val="auto"/>
        </w:rPr>
      </w:pPr>
    </w:p>
    <w:p w14:paraId="4BD5FD59" w14:textId="4E8EF958" w:rsidR="00E143AD" w:rsidRPr="002D2861" w:rsidRDefault="000464FF" w:rsidP="002D2861">
      <w:pPr>
        <w:pStyle w:val="ListParagraph"/>
        <w:widowControl w:val="0"/>
        <w:numPr>
          <w:ilvl w:val="0"/>
          <w:numId w:val="3"/>
        </w:numPr>
        <w:pBdr>
          <w:bottom w:val="single" w:sz="4" w:space="1" w:color="006F81"/>
        </w:pBdr>
        <w:autoSpaceDE w:val="0"/>
        <w:autoSpaceDN w:val="0"/>
        <w:spacing w:before="0" w:line="240" w:lineRule="auto"/>
        <w:ind w:left="426" w:hanging="426"/>
        <w:rPr>
          <w:rFonts w:eastAsia="Calibri"/>
          <w:b/>
          <w:bCs/>
          <w:color w:val="auto"/>
          <w:kern w:val="0"/>
          <w:lang w:val="en-US"/>
          <w14:ligatures w14:val="none"/>
        </w:rPr>
      </w:pPr>
      <w:r w:rsidRPr="002D2861">
        <w:rPr>
          <w:rFonts w:eastAsia="Calibri"/>
          <w:b/>
          <w:bCs/>
          <w:color w:val="auto"/>
          <w:kern w:val="0"/>
          <w:lang w:val="en-US"/>
          <w14:ligatures w14:val="none"/>
        </w:rPr>
        <w:t xml:space="preserve">Crimes and ASB </w:t>
      </w:r>
    </w:p>
    <w:p w14:paraId="406323E6" w14:textId="2CC73186" w:rsidR="00626BF3" w:rsidRPr="002617DA" w:rsidRDefault="002D2861" w:rsidP="002D2861">
      <w:pPr>
        <w:ind w:left="426" w:hanging="426"/>
        <w:rPr>
          <w:color w:val="auto"/>
        </w:rPr>
      </w:pPr>
      <w:r w:rsidRPr="002D2861">
        <w:rPr>
          <w:color w:val="auto"/>
        </w:rPr>
        <w:t>3.1</w:t>
      </w:r>
      <w:r>
        <w:rPr>
          <w:b/>
          <w:bCs/>
          <w:color w:val="auto"/>
        </w:rPr>
        <w:t xml:space="preserve">  </w:t>
      </w:r>
      <w:r w:rsidR="00626BF3" w:rsidRPr="002617DA">
        <w:rPr>
          <w:b/>
          <w:bCs/>
          <w:color w:val="auto"/>
        </w:rPr>
        <w:t>Total Crime</w:t>
      </w:r>
      <w:r w:rsidR="00626BF3" w:rsidRPr="002617DA">
        <w:rPr>
          <w:color w:val="auto"/>
        </w:rPr>
        <w:t xml:space="preserve"> is</w:t>
      </w:r>
      <w:r w:rsidR="00626BF3" w:rsidRPr="002617DA">
        <w:rPr>
          <w:b/>
          <w:bCs/>
          <w:color w:val="auto"/>
        </w:rPr>
        <w:t xml:space="preserve"> </w:t>
      </w:r>
      <w:r w:rsidR="00626BF3" w:rsidRPr="002617DA">
        <w:rPr>
          <w:color w:val="auto"/>
        </w:rPr>
        <w:t xml:space="preserve">still on a </w:t>
      </w:r>
      <w:r w:rsidR="00626BF3" w:rsidRPr="002617DA">
        <w:rPr>
          <w:b/>
          <w:bCs/>
          <w:color w:val="auto"/>
        </w:rPr>
        <w:t>reducing trend</w:t>
      </w:r>
      <w:r w:rsidR="00626BF3" w:rsidRPr="002617DA">
        <w:rPr>
          <w:color w:val="auto"/>
        </w:rPr>
        <w:t xml:space="preserve"> in West Yorkshire, and </w:t>
      </w:r>
      <w:r w:rsidR="00742E11" w:rsidRPr="002617DA">
        <w:rPr>
          <w:color w:val="auto"/>
        </w:rPr>
        <w:t>this trend is reflected in all our most similar forces</w:t>
      </w:r>
      <w:r w:rsidR="00EE2C95">
        <w:rPr>
          <w:color w:val="auto"/>
        </w:rPr>
        <w:t>.  There have been some notable reduction</w:t>
      </w:r>
      <w:r w:rsidR="009D4F6A">
        <w:rPr>
          <w:color w:val="auto"/>
        </w:rPr>
        <w:t>s</w:t>
      </w:r>
      <w:r w:rsidR="00EE2C95">
        <w:rPr>
          <w:color w:val="auto"/>
        </w:rPr>
        <w:t xml:space="preserve"> in West Yorkshire, particularly </w:t>
      </w:r>
      <w:r w:rsidR="007F6E1E">
        <w:rPr>
          <w:color w:val="auto"/>
        </w:rPr>
        <w:t>business and commercial b</w:t>
      </w:r>
      <w:r w:rsidR="007F6E1E" w:rsidRPr="007F6E1E">
        <w:rPr>
          <w:color w:val="auto"/>
        </w:rPr>
        <w:t xml:space="preserve">urglaries, public order, personal robbery, shoplifting, theft from person, violence with injury whilst stalking and harassment </w:t>
      </w:r>
      <w:r w:rsidR="007F6E1E">
        <w:rPr>
          <w:color w:val="auto"/>
        </w:rPr>
        <w:t>is also reducing.</w:t>
      </w:r>
    </w:p>
    <w:p w14:paraId="198218E3" w14:textId="630E104D" w:rsidR="00C3262C" w:rsidRPr="002617DA" w:rsidRDefault="002D2861" w:rsidP="002D2861">
      <w:pPr>
        <w:ind w:left="426" w:hanging="426"/>
        <w:rPr>
          <w:color w:val="auto"/>
        </w:rPr>
      </w:pPr>
      <w:r>
        <w:rPr>
          <w:color w:val="auto"/>
        </w:rPr>
        <w:t xml:space="preserve">3.2  </w:t>
      </w:r>
      <w:r w:rsidR="00C746D9" w:rsidRPr="002617DA">
        <w:rPr>
          <w:color w:val="auto"/>
        </w:rPr>
        <w:t xml:space="preserve">Regarding </w:t>
      </w:r>
      <w:r w:rsidR="00C746D9" w:rsidRPr="002617DA">
        <w:rPr>
          <w:b/>
          <w:bCs/>
          <w:color w:val="auto"/>
        </w:rPr>
        <w:t>n</w:t>
      </w:r>
      <w:r w:rsidR="003122E6" w:rsidRPr="002617DA">
        <w:rPr>
          <w:b/>
          <w:bCs/>
          <w:color w:val="auto"/>
        </w:rPr>
        <w:t>eighbourhood crime</w:t>
      </w:r>
      <w:r w:rsidR="00C746D9" w:rsidRPr="002617DA">
        <w:rPr>
          <w:color w:val="auto"/>
        </w:rPr>
        <w:t>, this figure is</w:t>
      </w:r>
      <w:r w:rsidR="003122E6" w:rsidRPr="002617DA">
        <w:rPr>
          <w:color w:val="auto"/>
        </w:rPr>
        <w:t xml:space="preserve"> </w:t>
      </w:r>
      <w:r w:rsidR="003122E6" w:rsidRPr="002617DA">
        <w:rPr>
          <w:b/>
          <w:bCs/>
          <w:color w:val="auto"/>
        </w:rPr>
        <w:t>down</w:t>
      </w:r>
      <w:r w:rsidR="003122E6" w:rsidRPr="002617DA">
        <w:rPr>
          <w:color w:val="auto"/>
        </w:rPr>
        <w:t xml:space="preserve"> by </w:t>
      </w:r>
      <w:r w:rsidR="003122E6" w:rsidRPr="002617DA">
        <w:rPr>
          <w:b/>
          <w:bCs/>
          <w:color w:val="auto"/>
        </w:rPr>
        <w:t>33.</w:t>
      </w:r>
      <w:r w:rsidR="002E7EAA" w:rsidRPr="002617DA">
        <w:rPr>
          <w:b/>
          <w:bCs/>
          <w:color w:val="auto"/>
        </w:rPr>
        <w:t>6</w:t>
      </w:r>
      <w:r w:rsidR="003122E6" w:rsidRPr="002617DA">
        <w:rPr>
          <w:b/>
          <w:bCs/>
          <w:color w:val="auto"/>
        </w:rPr>
        <w:t>%</w:t>
      </w:r>
      <w:r w:rsidR="003122E6" w:rsidRPr="002617DA">
        <w:rPr>
          <w:color w:val="auto"/>
        </w:rPr>
        <w:t xml:space="preserve"> when compared to </w:t>
      </w:r>
      <w:r w:rsidR="00C746D9" w:rsidRPr="002617DA">
        <w:rPr>
          <w:color w:val="auto"/>
        </w:rPr>
        <w:t>the 2019 baseline</w:t>
      </w:r>
      <w:r w:rsidR="00312D53" w:rsidRPr="002617DA">
        <w:rPr>
          <w:color w:val="auto"/>
        </w:rPr>
        <w:t xml:space="preserve"> which </w:t>
      </w:r>
      <w:r w:rsidR="00C3262C" w:rsidRPr="002617DA">
        <w:rPr>
          <w:color w:val="auto"/>
        </w:rPr>
        <w:t>puts us mid table with comparison to our most similar forces</w:t>
      </w:r>
      <w:r w:rsidR="00836248">
        <w:rPr>
          <w:color w:val="auto"/>
        </w:rPr>
        <w:t>.</w:t>
      </w:r>
    </w:p>
    <w:p w14:paraId="40FB9E83" w14:textId="55200901" w:rsidR="002419FD" w:rsidRPr="002617DA" w:rsidRDefault="00C3262C" w:rsidP="002D2861">
      <w:pPr>
        <w:ind w:left="426"/>
        <w:rPr>
          <w:color w:val="auto"/>
        </w:rPr>
      </w:pPr>
      <w:r w:rsidRPr="002617DA">
        <w:rPr>
          <w:color w:val="auto"/>
        </w:rPr>
        <w:t xml:space="preserve">Currently </w:t>
      </w:r>
      <w:r w:rsidRPr="002617DA">
        <w:rPr>
          <w:b/>
          <w:bCs/>
          <w:color w:val="auto"/>
        </w:rPr>
        <w:t>all types</w:t>
      </w:r>
      <w:r w:rsidRPr="002617DA">
        <w:rPr>
          <w:color w:val="auto"/>
        </w:rPr>
        <w:t xml:space="preserve"> of </w:t>
      </w:r>
      <w:r w:rsidRPr="002617DA">
        <w:rPr>
          <w:b/>
          <w:bCs/>
          <w:color w:val="auto"/>
        </w:rPr>
        <w:t>neighbourhood crime</w:t>
      </w:r>
      <w:r w:rsidRPr="002617DA">
        <w:rPr>
          <w:color w:val="auto"/>
        </w:rPr>
        <w:t xml:space="preserve"> are </w:t>
      </w:r>
      <w:r w:rsidRPr="002617DA">
        <w:rPr>
          <w:b/>
          <w:bCs/>
          <w:color w:val="auto"/>
        </w:rPr>
        <w:t>reducing</w:t>
      </w:r>
      <w:r w:rsidRPr="002617DA">
        <w:rPr>
          <w:color w:val="auto"/>
        </w:rPr>
        <w:t xml:space="preserve"> in comparison to the previous year, and </w:t>
      </w:r>
      <w:r w:rsidRPr="002617DA">
        <w:rPr>
          <w:b/>
          <w:bCs/>
          <w:color w:val="auto"/>
        </w:rPr>
        <w:t>only one</w:t>
      </w:r>
      <w:r w:rsidRPr="002617DA">
        <w:rPr>
          <w:color w:val="auto"/>
        </w:rPr>
        <w:t xml:space="preserve"> is </w:t>
      </w:r>
      <w:r w:rsidR="00D20035">
        <w:rPr>
          <w:color w:val="auto"/>
        </w:rPr>
        <w:t xml:space="preserve">currently </w:t>
      </w:r>
      <w:r w:rsidRPr="002617DA">
        <w:rPr>
          <w:b/>
          <w:bCs/>
          <w:color w:val="auto"/>
        </w:rPr>
        <w:t>above the 2019 baseline</w:t>
      </w:r>
      <w:r w:rsidRPr="002617DA">
        <w:rPr>
          <w:color w:val="auto"/>
        </w:rPr>
        <w:t xml:space="preserve"> – this is </w:t>
      </w:r>
      <w:r w:rsidRPr="002617DA">
        <w:rPr>
          <w:b/>
          <w:bCs/>
          <w:color w:val="auto"/>
        </w:rPr>
        <w:t>Theft Of Motor Vehicle</w:t>
      </w:r>
      <w:r w:rsidRPr="002617DA">
        <w:rPr>
          <w:color w:val="auto"/>
        </w:rPr>
        <w:t>, which saw increases in 2021</w:t>
      </w:r>
      <w:r w:rsidR="008D3272">
        <w:rPr>
          <w:color w:val="auto"/>
        </w:rPr>
        <w:t>/22</w:t>
      </w:r>
      <w:r w:rsidRPr="002617DA">
        <w:rPr>
          <w:color w:val="auto"/>
        </w:rPr>
        <w:t xml:space="preserve"> but </w:t>
      </w:r>
      <w:r w:rsidR="009D2447">
        <w:rPr>
          <w:color w:val="auto"/>
        </w:rPr>
        <w:t>started on a reducing trend from April 2023 which continues</w:t>
      </w:r>
      <w:r w:rsidR="00836248">
        <w:rPr>
          <w:color w:val="auto"/>
        </w:rPr>
        <w:t>.</w:t>
      </w:r>
      <w:r w:rsidR="00312D53" w:rsidRPr="002617DA">
        <w:rPr>
          <w:color w:val="auto"/>
        </w:rPr>
        <w:t xml:space="preserve"> </w:t>
      </w:r>
    </w:p>
    <w:p w14:paraId="6E078D37" w14:textId="1A3366CE" w:rsidR="00FF0706" w:rsidRPr="002617DA" w:rsidRDefault="00C746D9">
      <w:pPr>
        <w:rPr>
          <w:color w:val="auto"/>
        </w:rPr>
      </w:pPr>
      <w:r w:rsidRPr="002617DA">
        <w:rPr>
          <w:color w:val="auto"/>
        </w:rPr>
        <w:t xml:space="preserve"> </w:t>
      </w:r>
      <w:r w:rsidR="00B7225D" w:rsidRPr="002617DA">
        <w:rPr>
          <w:color w:val="auto"/>
        </w:rPr>
        <w:t xml:space="preserve"> </w:t>
      </w:r>
    </w:p>
    <w:p w14:paraId="1074879F" w14:textId="24D252B3" w:rsidR="00293F86" w:rsidRPr="002617DA" w:rsidRDefault="00327AE4" w:rsidP="008345A2">
      <w:pPr>
        <w:ind w:left="426" w:hanging="426"/>
        <w:rPr>
          <w:color w:val="auto"/>
        </w:rPr>
      </w:pPr>
      <w:r w:rsidRPr="004F6357">
        <w:rPr>
          <w:color w:val="auto"/>
        </w:rPr>
        <w:t>3.3</w:t>
      </w:r>
      <w:r w:rsidR="008345A2">
        <w:rPr>
          <w:b/>
          <w:bCs/>
          <w:color w:val="auto"/>
        </w:rPr>
        <w:t xml:space="preserve">  </w:t>
      </w:r>
      <w:r w:rsidR="00954C33" w:rsidRPr="002617DA">
        <w:rPr>
          <w:b/>
          <w:bCs/>
          <w:color w:val="auto"/>
        </w:rPr>
        <w:t>Recorded ASB</w:t>
      </w:r>
      <w:r w:rsidR="00954C33" w:rsidRPr="002617DA">
        <w:rPr>
          <w:color w:val="auto"/>
        </w:rPr>
        <w:t xml:space="preserve"> </w:t>
      </w:r>
      <w:r w:rsidR="00605BEF" w:rsidRPr="002617DA">
        <w:rPr>
          <w:color w:val="auto"/>
        </w:rPr>
        <w:t xml:space="preserve">has </w:t>
      </w:r>
      <w:r w:rsidR="00605BEF" w:rsidRPr="002617DA">
        <w:rPr>
          <w:b/>
          <w:bCs/>
          <w:color w:val="auto"/>
        </w:rPr>
        <w:t>fallen</w:t>
      </w:r>
      <w:r w:rsidR="00954C33" w:rsidRPr="002617DA">
        <w:rPr>
          <w:b/>
          <w:bCs/>
          <w:color w:val="auto"/>
        </w:rPr>
        <w:t xml:space="preserve"> by 0.5%</w:t>
      </w:r>
      <w:r w:rsidR="00954C33" w:rsidRPr="002617DA">
        <w:rPr>
          <w:color w:val="auto"/>
        </w:rPr>
        <w:t xml:space="preserve"> in the 12 months to December 2025 compared with the same period ending December 2024.</w:t>
      </w:r>
      <w:r w:rsidR="00DD4D06" w:rsidRPr="002617DA">
        <w:rPr>
          <w:color w:val="auto"/>
        </w:rPr>
        <w:t xml:space="preserve"> </w:t>
      </w:r>
      <w:r w:rsidR="00D648EB" w:rsidRPr="002617DA">
        <w:rPr>
          <w:color w:val="auto"/>
        </w:rPr>
        <w:t xml:space="preserve">Stalking and harassment offences have levelled off whilst </w:t>
      </w:r>
      <w:r w:rsidR="00D648EB" w:rsidRPr="002617DA">
        <w:rPr>
          <w:b/>
          <w:bCs/>
          <w:color w:val="auto"/>
        </w:rPr>
        <w:t>arson, criminal damage</w:t>
      </w:r>
      <w:r w:rsidR="00D648EB" w:rsidRPr="002617DA">
        <w:rPr>
          <w:color w:val="auto"/>
        </w:rPr>
        <w:t xml:space="preserve"> and </w:t>
      </w:r>
      <w:r w:rsidR="00D648EB" w:rsidRPr="002617DA">
        <w:rPr>
          <w:b/>
          <w:bCs/>
          <w:color w:val="auto"/>
        </w:rPr>
        <w:t>public order</w:t>
      </w:r>
      <w:r w:rsidR="00D648EB" w:rsidRPr="002617DA">
        <w:rPr>
          <w:color w:val="auto"/>
        </w:rPr>
        <w:t xml:space="preserve"> are all on a decreasing trend. </w:t>
      </w:r>
    </w:p>
    <w:p w14:paraId="6AC797B0" w14:textId="3AC29F50" w:rsidR="003E05C1" w:rsidRPr="002617DA" w:rsidRDefault="004F6357" w:rsidP="004F6357">
      <w:pPr>
        <w:ind w:left="426" w:hanging="426"/>
        <w:rPr>
          <w:color w:val="auto"/>
        </w:rPr>
      </w:pPr>
      <w:r>
        <w:rPr>
          <w:color w:val="auto"/>
        </w:rPr>
        <w:t xml:space="preserve">3.4  </w:t>
      </w:r>
      <w:r w:rsidR="00DD4D06" w:rsidRPr="002617DA">
        <w:rPr>
          <w:color w:val="auto"/>
        </w:rPr>
        <w:t>West Yorkshire Police</w:t>
      </w:r>
      <w:r w:rsidR="00BC2F66" w:rsidRPr="002617DA">
        <w:rPr>
          <w:color w:val="auto"/>
        </w:rPr>
        <w:t xml:space="preserve"> (WYP)</w:t>
      </w:r>
      <w:r w:rsidR="00DD4D06" w:rsidRPr="002617DA">
        <w:rPr>
          <w:color w:val="auto"/>
        </w:rPr>
        <w:t xml:space="preserve"> </w:t>
      </w:r>
      <w:r w:rsidR="0016326D" w:rsidRPr="002617DA">
        <w:rPr>
          <w:color w:val="auto"/>
        </w:rPr>
        <w:t>and partners have concluded the ‘</w:t>
      </w:r>
      <w:r w:rsidR="0012336D" w:rsidRPr="002617DA">
        <w:rPr>
          <w:b/>
          <w:bCs/>
          <w:color w:val="auto"/>
        </w:rPr>
        <w:t>W</w:t>
      </w:r>
      <w:r w:rsidR="0016326D" w:rsidRPr="002617DA">
        <w:rPr>
          <w:b/>
          <w:bCs/>
          <w:color w:val="auto"/>
        </w:rPr>
        <w:t xml:space="preserve">inter of </w:t>
      </w:r>
      <w:r w:rsidR="0012336D" w:rsidRPr="002617DA">
        <w:rPr>
          <w:b/>
          <w:bCs/>
          <w:color w:val="auto"/>
        </w:rPr>
        <w:t>A</w:t>
      </w:r>
      <w:r w:rsidR="0016326D" w:rsidRPr="002617DA">
        <w:rPr>
          <w:b/>
          <w:bCs/>
          <w:color w:val="auto"/>
        </w:rPr>
        <w:t>ction’</w:t>
      </w:r>
      <w:r w:rsidR="0016326D" w:rsidRPr="002617DA">
        <w:rPr>
          <w:color w:val="auto"/>
        </w:rPr>
        <w:t xml:space="preserve"> initiative which was</w:t>
      </w:r>
      <w:r w:rsidR="00BB495E" w:rsidRPr="002617DA">
        <w:rPr>
          <w:color w:val="auto"/>
        </w:rPr>
        <w:t xml:space="preserve"> co-ordinated by the Government and echo</w:t>
      </w:r>
      <w:r w:rsidR="0016326D" w:rsidRPr="002617DA">
        <w:rPr>
          <w:color w:val="auto"/>
        </w:rPr>
        <w:t>ed</w:t>
      </w:r>
      <w:r w:rsidR="00BB495E" w:rsidRPr="002617DA">
        <w:rPr>
          <w:color w:val="auto"/>
        </w:rPr>
        <w:t xml:space="preserve"> the summer’s safer streets initiative</w:t>
      </w:r>
      <w:r w:rsidR="0016326D" w:rsidRPr="002617DA">
        <w:rPr>
          <w:color w:val="auto"/>
        </w:rPr>
        <w:t xml:space="preserve">. This period saw </w:t>
      </w:r>
      <w:r w:rsidR="00E749B4" w:rsidRPr="002617DA">
        <w:rPr>
          <w:color w:val="auto"/>
        </w:rPr>
        <w:t xml:space="preserve">a particular focus on </w:t>
      </w:r>
      <w:r w:rsidR="00BB495E" w:rsidRPr="002617DA">
        <w:rPr>
          <w:b/>
          <w:bCs/>
          <w:color w:val="auto"/>
        </w:rPr>
        <w:t>retail and street crime</w:t>
      </w:r>
      <w:r w:rsidR="00BB495E" w:rsidRPr="002617DA">
        <w:rPr>
          <w:color w:val="auto"/>
        </w:rPr>
        <w:t xml:space="preserve"> through a range of local authority-led measures designed to strengthen interventions in communities.</w:t>
      </w:r>
      <w:r w:rsidR="00A33F26" w:rsidRPr="002617DA">
        <w:rPr>
          <w:color w:val="auto"/>
        </w:rPr>
        <w:t xml:space="preserve"> This action saw a </w:t>
      </w:r>
      <w:r w:rsidR="00A33F26" w:rsidRPr="002617DA">
        <w:rPr>
          <w:b/>
          <w:bCs/>
          <w:color w:val="auto"/>
        </w:rPr>
        <w:t>17% reduction</w:t>
      </w:r>
      <w:r w:rsidR="00A33F26" w:rsidRPr="002617DA">
        <w:rPr>
          <w:color w:val="auto"/>
        </w:rPr>
        <w:t xml:space="preserve"> in </w:t>
      </w:r>
      <w:r w:rsidR="00A33F26" w:rsidRPr="002617DA">
        <w:rPr>
          <w:b/>
          <w:bCs/>
          <w:color w:val="auto"/>
        </w:rPr>
        <w:t>theft from shop</w:t>
      </w:r>
      <w:r w:rsidR="00A33F26" w:rsidRPr="002617DA">
        <w:rPr>
          <w:color w:val="auto"/>
        </w:rPr>
        <w:t xml:space="preserve"> and a </w:t>
      </w:r>
      <w:r w:rsidR="00A33F26" w:rsidRPr="002617DA">
        <w:rPr>
          <w:b/>
          <w:bCs/>
          <w:color w:val="auto"/>
        </w:rPr>
        <w:t>7%</w:t>
      </w:r>
      <w:r w:rsidR="00A33F26" w:rsidRPr="002617DA">
        <w:rPr>
          <w:color w:val="auto"/>
        </w:rPr>
        <w:t xml:space="preserve"> </w:t>
      </w:r>
      <w:r w:rsidR="00A33F26" w:rsidRPr="002617DA">
        <w:rPr>
          <w:b/>
          <w:bCs/>
          <w:color w:val="auto"/>
        </w:rPr>
        <w:t>increase</w:t>
      </w:r>
      <w:r w:rsidR="00A33F26" w:rsidRPr="002617DA">
        <w:rPr>
          <w:color w:val="auto"/>
        </w:rPr>
        <w:t xml:space="preserve"> in </w:t>
      </w:r>
      <w:r w:rsidR="00A33F26" w:rsidRPr="002617DA">
        <w:rPr>
          <w:b/>
          <w:bCs/>
          <w:color w:val="auto"/>
        </w:rPr>
        <w:t>arrest rate</w:t>
      </w:r>
      <w:r w:rsidR="00A33F26" w:rsidRPr="002617DA">
        <w:rPr>
          <w:color w:val="auto"/>
        </w:rPr>
        <w:t xml:space="preserve"> for </w:t>
      </w:r>
      <w:r w:rsidR="00820E08" w:rsidRPr="002617DA">
        <w:rPr>
          <w:color w:val="auto"/>
        </w:rPr>
        <w:t>compared to the same time last year</w:t>
      </w:r>
      <w:r w:rsidR="00A33F26" w:rsidRPr="002617DA">
        <w:rPr>
          <w:color w:val="auto"/>
        </w:rPr>
        <w:t xml:space="preserve">. </w:t>
      </w:r>
      <w:r w:rsidR="003E05C1" w:rsidRPr="002617DA">
        <w:rPr>
          <w:color w:val="auto"/>
        </w:rPr>
        <w:t xml:space="preserve">Additionally, there was a </w:t>
      </w:r>
      <w:r w:rsidR="003E05C1" w:rsidRPr="002617DA">
        <w:rPr>
          <w:b/>
          <w:bCs/>
          <w:color w:val="auto"/>
        </w:rPr>
        <w:t>26% reduction</w:t>
      </w:r>
      <w:r w:rsidR="003E05C1" w:rsidRPr="002617DA">
        <w:rPr>
          <w:color w:val="auto"/>
        </w:rPr>
        <w:t xml:space="preserve"> in </w:t>
      </w:r>
      <w:r w:rsidR="003E05C1" w:rsidRPr="002617DA">
        <w:rPr>
          <w:b/>
          <w:bCs/>
          <w:color w:val="auto"/>
        </w:rPr>
        <w:t>robbery of personal property</w:t>
      </w:r>
      <w:r w:rsidR="003E05C1" w:rsidRPr="002617DA">
        <w:rPr>
          <w:color w:val="auto"/>
        </w:rPr>
        <w:t xml:space="preserve"> and a </w:t>
      </w:r>
      <w:r w:rsidR="003E05C1" w:rsidRPr="002617DA">
        <w:rPr>
          <w:b/>
          <w:bCs/>
          <w:color w:val="auto"/>
        </w:rPr>
        <w:t>7%</w:t>
      </w:r>
      <w:r w:rsidR="003E05C1" w:rsidRPr="002617DA">
        <w:rPr>
          <w:color w:val="auto"/>
        </w:rPr>
        <w:t xml:space="preserve"> </w:t>
      </w:r>
      <w:r w:rsidR="003E05C1" w:rsidRPr="002617DA">
        <w:rPr>
          <w:b/>
          <w:bCs/>
          <w:color w:val="auto"/>
        </w:rPr>
        <w:t>increase</w:t>
      </w:r>
      <w:r w:rsidR="003E05C1" w:rsidRPr="002617DA">
        <w:rPr>
          <w:color w:val="auto"/>
        </w:rPr>
        <w:t xml:space="preserve"> in </w:t>
      </w:r>
      <w:r w:rsidR="003E05C1" w:rsidRPr="002617DA">
        <w:rPr>
          <w:b/>
          <w:bCs/>
          <w:color w:val="auto"/>
        </w:rPr>
        <w:t>arrest rate</w:t>
      </w:r>
      <w:r w:rsidR="003E05C1" w:rsidRPr="002617DA">
        <w:rPr>
          <w:color w:val="auto"/>
        </w:rPr>
        <w:t>,</w:t>
      </w:r>
      <w:r w:rsidR="00820E08" w:rsidRPr="002617DA">
        <w:rPr>
          <w:color w:val="auto"/>
        </w:rPr>
        <w:t xml:space="preserve"> </w:t>
      </w:r>
      <w:r w:rsidR="003E05C1" w:rsidRPr="002617DA">
        <w:rPr>
          <w:color w:val="auto"/>
        </w:rPr>
        <w:t>maintaining the same outcome rate</w:t>
      </w:r>
      <w:r w:rsidR="00820E08" w:rsidRPr="002617DA">
        <w:rPr>
          <w:color w:val="auto"/>
        </w:rPr>
        <w:t xml:space="preserve">. </w:t>
      </w:r>
      <w:r w:rsidR="00BC2F66" w:rsidRPr="002617DA">
        <w:rPr>
          <w:color w:val="auto"/>
        </w:rPr>
        <w:t xml:space="preserve">WYP also reported a </w:t>
      </w:r>
      <w:r w:rsidR="00BC2F66" w:rsidRPr="002617DA">
        <w:rPr>
          <w:b/>
          <w:bCs/>
          <w:color w:val="auto"/>
        </w:rPr>
        <w:t>huge increase</w:t>
      </w:r>
      <w:r w:rsidR="00BC2F66" w:rsidRPr="002617DA">
        <w:rPr>
          <w:color w:val="auto"/>
        </w:rPr>
        <w:t xml:space="preserve"> in </w:t>
      </w:r>
      <w:r w:rsidR="001C6872" w:rsidRPr="002617DA">
        <w:rPr>
          <w:color w:val="auto"/>
        </w:rPr>
        <w:t xml:space="preserve">the </w:t>
      </w:r>
      <w:r w:rsidR="001C6872" w:rsidRPr="002617DA">
        <w:rPr>
          <w:b/>
          <w:bCs/>
          <w:color w:val="auto"/>
        </w:rPr>
        <w:t>use of ASB powers</w:t>
      </w:r>
      <w:r w:rsidR="001C6872" w:rsidRPr="002617DA">
        <w:rPr>
          <w:color w:val="auto"/>
        </w:rPr>
        <w:t xml:space="preserve"> with 138 powers being used in the </w:t>
      </w:r>
      <w:r w:rsidR="00402A1F" w:rsidRPr="002617DA">
        <w:rPr>
          <w:color w:val="auto"/>
        </w:rPr>
        <w:t>‘</w:t>
      </w:r>
      <w:r w:rsidR="001C6872" w:rsidRPr="002617DA">
        <w:rPr>
          <w:color w:val="auto"/>
        </w:rPr>
        <w:t>Winter of Action</w:t>
      </w:r>
      <w:r w:rsidR="00402A1F" w:rsidRPr="002617DA">
        <w:rPr>
          <w:color w:val="auto"/>
        </w:rPr>
        <w:t>’</w:t>
      </w:r>
      <w:r w:rsidR="001C6872" w:rsidRPr="002617DA">
        <w:rPr>
          <w:color w:val="auto"/>
        </w:rPr>
        <w:t xml:space="preserve"> compared to 35 powers used last year. </w:t>
      </w:r>
    </w:p>
    <w:p w14:paraId="4E2E1C7F" w14:textId="77777777" w:rsidR="00A8797D" w:rsidRPr="002617DA" w:rsidRDefault="00A8797D" w:rsidP="003E05C1">
      <w:pPr>
        <w:rPr>
          <w:color w:val="auto"/>
        </w:rPr>
      </w:pPr>
    </w:p>
    <w:p w14:paraId="6FA40D1F" w14:textId="5169B232" w:rsidR="00E56B5A" w:rsidRPr="008345A2" w:rsidRDefault="00E56B5A" w:rsidP="008345A2">
      <w:pPr>
        <w:pStyle w:val="ListParagraph"/>
        <w:widowControl w:val="0"/>
        <w:numPr>
          <w:ilvl w:val="0"/>
          <w:numId w:val="3"/>
        </w:numPr>
        <w:pBdr>
          <w:bottom w:val="single" w:sz="4" w:space="1" w:color="006F81"/>
        </w:pBdr>
        <w:autoSpaceDE w:val="0"/>
        <w:autoSpaceDN w:val="0"/>
        <w:spacing w:before="0" w:line="240" w:lineRule="auto"/>
        <w:ind w:left="426" w:hanging="426"/>
        <w:rPr>
          <w:rFonts w:eastAsia="Calibri"/>
          <w:b/>
          <w:bCs/>
          <w:color w:val="auto"/>
          <w:kern w:val="0"/>
          <w:lang w:val="en-US"/>
          <w14:ligatures w14:val="none"/>
        </w:rPr>
      </w:pPr>
      <w:r w:rsidRPr="008345A2">
        <w:rPr>
          <w:rFonts w:eastAsia="Calibri"/>
          <w:b/>
          <w:bCs/>
          <w:color w:val="auto"/>
          <w:kern w:val="0"/>
          <w:lang w:val="en-US"/>
          <w14:ligatures w14:val="none"/>
        </w:rPr>
        <w:t>Vision Zero Measures</w:t>
      </w:r>
    </w:p>
    <w:p w14:paraId="7A8BC36A" w14:textId="4110F126" w:rsidR="001510EB" w:rsidRPr="002617DA" w:rsidRDefault="008345A2" w:rsidP="008345A2">
      <w:pPr>
        <w:ind w:left="426" w:hanging="426"/>
        <w:rPr>
          <w:color w:val="auto"/>
        </w:rPr>
      </w:pPr>
      <w:r>
        <w:rPr>
          <w:color w:val="auto"/>
        </w:rPr>
        <w:t xml:space="preserve">4.1  </w:t>
      </w:r>
      <w:r w:rsidR="001510EB" w:rsidRPr="002617DA">
        <w:rPr>
          <w:color w:val="auto"/>
        </w:rPr>
        <w:t xml:space="preserve">Provisional figures report that the number of fatal road collisions reported in the 12 months to December 2025 is </w:t>
      </w:r>
      <w:r w:rsidR="001510EB" w:rsidRPr="002617DA">
        <w:rPr>
          <w:b/>
          <w:bCs/>
          <w:color w:val="auto"/>
        </w:rPr>
        <w:t>51</w:t>
      </w:r>
      <w:r w:rsidR="001510EB" w:rsidRPr="002617DA">
        <w:rPr>
          <w:color w:val="auto"/>
        </w:rPr>
        <w:t xml:space="preserve"> which is </w:t>
      </w:r>
      <w:r w:rsidR="001510EB" w:rsidRPr="002617DA">
        <w:rPr>
          <w:b/>
          <w:bCs/>
          <w:color w:val="auto"/>
        </w:rPr>
        <w:t>ten more</w:t>
      </w:r>
      <w:r w:rsidR="001510EB" w:rsidRPr="002617DA">
        <w:rPr>
          <w:color w:val="auto"/>
        </w:rPr>
        <w:t xml:space="preserve"> than 12 months ago. Collisions involving a </w:t>
      </w:r>
      <w:r w:rsidR="001510EB" w:rsidRPr="002617DA">
        <w:rPr>
          <w:b/>
          <w:bCs/>
          <w:color w:val="auto"/>
        </w:rPr>
        <w:t>serious injury</w:t>
      </w:r>
      <w:r w:rsidR="001510EB" w:rsidRPr="002617DA">
        <w:rPr>
          <w:color w:val="auto"/>
        </w:rPr>
        <w:t xml:space="preserve"> have </w:t>
      </w:r>
      <w:r w:rsidR="001510EB" w:rsidRPr="002617DA">
        <w:rPr>
          <w:b/>
          <w:bCs/>
          <w:color w:val="auto"/>
        </w:rPr>
        <w:t>fallen by 70</w:t>
      </w:r>
      <w:r w:rsidR="001510EB" w:rsidRPr="002617DA">
        <w:rPr>
          <w:color w:val="auto"/>
        </w:rPr>
        <w:t xml:space="preserve"> in the past 12 months to </w:t>
      </w:r>
      <w:r w:rsidR="001510EB" w:rsidRPr="002617DA">
        <w:rPr>
          <w:color w:val="auto"/>
        </w:rPr>
        <w:lastRenderedPageBreak/>
        <w:t xml:space="preserve">1,100 (down 6.0%) whilst </w:t>
      </w:r>
      <w:r w:rsidR="001510EB" w:rsidRPr="002617DA">
        <w:rPr>
          <w:b/>
          <w:bCs/>
          <w:color w:val="auto"/>
        </w:rPr>
        <w:t>133 fewer</w:t>
      </w:r>
      <w:r w:rsidR="001510EB" w:rsidRPr="002617DA">
        <w:rPr>
          <w:color w:val="auto"/>
        </w:rPr>
        <w:t xml:space="preserve"> </w:t>
      </w:r>
      <w:r w:rsidR="001510EB" w:rsidRPr="002617DA">
        <w:rPr>
          <w:b/>
          <w:bCs/>
          <w:color w:val="auto"/>
        </w:rPr>
        <w:t>slight collisions</w:t>
      </w:r>
      <w:r w:rsidR="001510EB" w:rsidRPr="002617DA">
        <w:rPr>
          <w:color w:val="auto"/>
        </w:rPr>
        <w:t xml:space="preserve"> have been recorded (down 4.6% to 2,749). </w:t>
      </w:r>
    </w:p>
    <w:p w14:paraId="4C277D24" w14:textId="4E4EBE83" w:rsidR="009021A1" w:rsidRDefault="00085E94" w:rsidP="008345A2">
      <w:pPr>
        <w:ind w:left="426"/>
        <w:rPr>
          <w:color w:val="auto"/>
        </w:rPr>
      </w:pPr>
      <w:r w:rsidRPr="002617DA">
        <w:rPr>
          <w:color w:val="auto"/>
        </w:rPr>
        <w:t xml:space="preserve">Regarding </w:t>
      </w:r>
      <w:r w:rsidR="009021A1" w:rsidRPr="002617DA">
        <w:rPr>
          <w:b/>
          <w:bCs/>
          <w:color w:val="auto"/>
        </w:rPr>
        <w:t>Operation SNAP</w:t>
      </w:r>
      <w:r w:rsidR="009021A1" w:rsidRPr="002617DA">
        <w:rPr>
          <w:color w:val="auto"/>
        </w:rPr>
        <w:t xml:space="preserve"> </w:t>
      </w:r>
      <w:r w:rsidRPr="002617DA">
        <w:rPr>
          <w:color w:val="auto"/>
        </w:rPr>
        <w:t>(</w:t>
      </w:r>
      <w:r w:rsidR="009021A1" w:rsidRPr="002617DA">
        <w:rPr>
          <w:color w:val="auto"/>
        </w:rPr>
        <w:t>the service provided to the public to facilitate the uploading of digital media footage e.g. Dashcam clips)</w:t>
      </w:r>
      <w:r w:rsidR="00CC67BC" w:rsidRPr="002617DA">
        <w:rPr>
          <w:color w:val="auto"/>
        </w:rPr>
        <w:t>, s</w:t>
      </w:r>
      <w:r w:rsidR="009021A1" w:rsidRPr="002617DA">
        <w:rPr>
          <w:color w:val="auto"/>
        </w:rPr>
        <w:t xml:space="preserve">ubmissions for the period October to December 2025 have </w:t>
      </w:r>
      <w:r w:rsidR="009021A1" w:rsidRPr="002617DA">
        <w:rPr>
          <w:b/>
          <w:bCs/>
          <w:color w:val="auto"/>
        </w:rPr>
        <w:t>increased 2.4</w:t>
      </w:r>
      <w:r w:rsidR="009021A1" w:rsidRPr="002617DA">
        <w:rPr>
          <w:color w:val="auto"/>
        </w:rPr>
        <w:t>% compared to the</w:t>
      </w:r>
      <w:r w:rsidR="00D83EE8" w:rsidRPr="002617DA">
        <w:rPr>
          <w:color w:val="auto"/>
        </w:rPr>
        <w:t xml:space="preserve"> </w:t>
      </w:r>
      <w:r w:rsidR="009021A1" w:rsidRPr="002617DA">
        <w:rPr>
          <w:color w:val="auto"/>
        </w:rPr>
        <w:t>same period the previous year (2457 compared to 2400) and 7.9% April to December compared to 2024 (8828 compared to 8182). 65.9% of all submissions have resulted in further action being taken following the initia</w:t>
      </w:r>
      <w:r w:rsidR="00063FC0" w:rsidRPr="002617DA">
        <w:rPr>
          <w:color w:val="auto"/>
        </w:rPr>
        <w:t xml:space="preserve">l </w:t>
      </w:r>
      <w:r w:rsidR="009021A1" w:rsidRPr="002617DA">
        <w:rPr>
          <w:color w:val="auto"/>
        </w:rPr>
        <w:t>assessment of the available evidence</w:t>
      </w:r>
      <w:r w:rsidR="00063FC0" w:rsidRPr="002617DA">
        <w:rPr>
          <w:color w:val="auto"/>
        </w:rPr>
        <w:t xml:space="preserve"> and </w:t>
      </w:r>
      <w:r w:rsidR="009021A1" w:rsidRPr="002617DA">
        <w:rPr>
          <w:color w:val="auto"/>
        </w:rPr>
        <w:t>48.6% submissions resulted in the offer of a driver retraining course</w:t>
      </w:r>
      <w:r w:rsidR="00063FC0" w:rsidRPr="002617DA">
        <w:rPr>
          <w:color w:val="auto"/>
        </w:rPr>
        <w:t xml:space="preserve">. </w:t>
      </w:r>
      <w:r w:rsidR="009021A1" w:rsidRPr="002617DA">
        <w:rPr>
          <w:color w:val="auto"/>
        </w:rPr>
        <w:t>16% resulted in a conditional offer of fixed penalty (points and a fine).</w:t>
      </w:r>
    </w:p>
    <w:p w14:paraId="1EB9625E" w14:textId="53B3B053" w:rsidR="004F6357" w:rsidRPr="007E72EA" w:rsidRDefault="004F6357" w:rsidP="008345A2">
      <w:pPr>
        <w:ind w:left="426"/>
        <w:rPr>
          <w:color w:val="auto"/>
          <w:sz w:val="22"/>
          <w:szCs w:val="22"/>
        </w:rPr>
      </w:pPr>
      <w:r w:rsidRPr="007E72EA">
        <w:rPr>
          <w:color w:val="auto"/>
          <w:sz w:val="22"/>
          <w:szCs w:val="22"/>
        </w:rPr>
        <w:t>(more detail on Operation Snap is contained in the Road Safety paper that accompanies this paper</w:t>
      </w:r>
      <w:r w:rsidR="007E72EA" w:rsidRPr="007E72EA">
        <w:rPr>
          <w:color w:val="auto"/>
          <w:sz w:val="22"/>
          <w:szCs w:val="22"/>
        </w:rPr>
        <w:t>)</w:t>
      </w:r>
    </w:p>
    <w:p w14:paraId="74848356" w14:textId="77777777" w:rsidR="00917A28" w:rsidRDefault="00917A28" w:rsidP="00063FC0">
      <w:pPr>
        <w:rPr>
          <w:color w:val="auto"/>
        </w:rPr>
      </w:pPr>
    </w:p>
    <w:p w14:paraId="5FB6EE14" w14:textId="77777777" w:rsidR="007E72EA" w:rsidRDefault="007E72EA" w:rsidP="00063FC0">
      <w:pPr>
        <w:rPr>
          <w:color w:val="auto"/>
        </w:rPr>
      </w:pPr>
    </w:p>
    <w:p w14:paraId="261764F5" w14:textId="77777777" w:rsidR="009021A1" w:rsidRPr="009021A1" w:rsidRDefault="009021A1" w:rsidP="0016499A">
      <w:pPr>
        <w:rPr>
          <w:color w:val="auto"/>
        </w:rPr>
      </w:pPr>
    </w:p>
    <w:p w14:paraId="3B4E9C36" w14:textId="4F8F3B45" w:rsidR="00C145A0" w:rsidRDefault="00C145A0" w:rsidP="0016499A">
      <w:r>
        <w:t>For more information contact</w:t>
      </w:r>
    </w:p>
    <w:p w14:paraId="1DFCE1C0" w14:textId="3F6432F7" w:rsidR="00C145A0" w:rsidRDefault="00C145A0" w:rsidP="0016499A">
      <w:r>
        <w:t>Wendy Stevens – Research and Performance Manager</w:t>
      </w:r>
    </w:p>
    <w:p w14:paraId="6DD192A9" w14:textId="5BEDDCC1" w:rsidR="00C145A0" w:rsidRDefault="00D039A9" w:rsidP="0016499A">
      <w:r>
        <w:t>w</w:t>
      </w:r>
      <w:r w:rsidR="00C145A0">
        <w:t>endy.stevens</w:t>
      </w:r>
      <w:r>
        <w:t>@westyorks-ca.gov.uk</w:t>
      </w:r>
    </w:p>
    <w:p w14:paraId="59F95F97" w14:textId="77777777" w:rsidR="009E7B83" w:rsidRDefault="009E7B83" w:rsidP="0016499A"/>
    <w:p w14:paraId="7B6B6A33" w14:textId="272AF37A" w:rsidR="009370F1" w:rsidRPr="005221D9" w:rsidRDefault="00034A0C">
      <w:r>
        <w:t xml:space="preserve">Appendix 1 </w:t>
      </w:r>
      <w:r w:rsidR="00C145A0">
        <w:t>–</w:t>
      </w:r>
      <w:r>
        <w:t xml:space="preserve"> </w:t>
      </w:r>
      <w:r w:rsidR="00C145A0">
        <w:t>P&amp;CP – Performance Framework</w:t>
      </w:r>
    </w:p>
    <w:sectPr w:rsidR="009370F1" w:rsidRPr="005221D9" w:rsidSect="00D20035">
      <w:headerReference w:type="default" r:id="rId11"/>
      <w:footerReference w:type="default" r:id="rId12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3BFF" w14:textId="77777777" w:rsidR="00222595" w:rsidRDefault="00222595" w:rsidP="00D350A1">
      <w:pPr>
        <w:spacing w:after="0" w:line="240" w:lineRule="auto"/>
      </w:pPr>
      <w:r>
        <w:separator/>
      </w:r>
    </w:p>
  </w:endnote>
  <w:endnote w:type="continuationSeparator" w:id="0">
    <w:p w14:paraId="3744467E" w14:textId="77777777" w:rsidR="00222595" w:rsidRDefault="00222595" w:rsidP="00D3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7585851"/>
      <w:docPartObj>
        <w:docPartGallery w:val="Page Numbers (Bottom of Page)"/>
        <w:docPartUnique/>
      </w:docPartObj>
    </w:sdtPr>
    <w:sdtEndPr/>
    <w:sdtContent>
      <w:p w14:paraId="3067E2FB" w14:textId="275FC735" w:rsidR="007037D1" w:rsidRDefault="007037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AE6064" w14:textId="77777777" w:rsidR="007037D1" w:rsidRDefault="00703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E64E" w14:textId="77777777" w:rsidR="00222595" w:rsidRDefault="00222595" w:rsidP="00D350A1">
      <w:pPr>
        <w:spacing w:after="0" w:line="240" w:lineRule="auto"/>
      </w:pPr>
      <w:r>
        <w:separator/>
      </w:r>
    </w:p>
  </w:footnote>
  <w:footnote w:type="continuationSeparator" w:id="0">
    <w:p w14:paraId="40FC3125" w14:textId="77777777" w:rsidR="00222595" w:rsidRDefault="00222595" w:rsidP="00D3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084E" w14:textId="53EA8D44" w:rsidR="00D350A1" w:rsidRDefault="00D350A1">
    <w:pPr>
      <w:pStyle w:val="Header"/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065A8BAD" wp14:editId="7E8A678C">
          <wp:simplePos x="0" y="0"/>
          <wp:positionH relativeFrom="column">
            <wp:posOffset>4184650</wp:posOffset>
          </wp:positionH>
          <wp:positionV relativeFrom="paragraph">
            <wp:posOffset>-424180</wp:posOffset>
          </wp:positionV>
          <wp:extent cx="2444750" cy="1058236"/>
          <wp:effectExtent l="0" t="0" r="0" b="8890"/>
          <wp:wrapNone/>
          <wp:docPr id="325045531" name="Picture 1" descr="A logo for a police depart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28561" name="Picture 1" descr="A logo for a police departmen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750" cy="1058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5986">
      <w:t xml:space="preserve">Item 5 - </w:t>
    </w:r>
    <w:r w:rsidR="007037D1">
      <w:t>Performance Measures</w:t>
    </w:r>
    <w:r w:rsidR="00431750">
      <w:t xml:space="preserve">: Priority Two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5930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FD1AD0"/>
    <w:multiLevelType w:val="multilevel"/>
    <w:tmpl w:val="8AB2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B0609E"/>
    <w:multiLevelType w:val="multilevel"/>
    <w:tmpl w:val="CA50D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52615175">
    <w:abstractNumId w:val="1"/>
  </w:num>
  <w:num w:numId="2" w16cid:durableId="672419986">
    <w:abstractNumId w:val="0"/>
  </w:num>
  <w:num w:numId="3" w16cid:durableId="1243028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AD"/>
    <w:rsid w:val="00001C1B"/>
    <w:rsid w:val="0000643F"/>
    <w:rsid w:val="000110E8"/>
    <w:rsid w:val="0001457C"/>
    <w:rsid w:val="00015365"/>
    <w:rsid w:val="00017BDE"/>
    <w:rsid w:val="00021E61"/>
    <w:rsid w:val="00021EFC"/>
    <w:rsid w:val="00024CFE"/>
    <w:rsid w:val="00025139"/>
    <w:rsid w:val="000251FC"/>
    <w:rsid w:val="00027609"/>
    <w:rsid w:val="00031942"/>
    <w:rsid w:val="00034A0C"/>
    <w:rsid w:val="000364F7"/>
    <w:rsid w:val="0003663C"/>
    <w:rsid w:val="0004627F"/>
    <w:rsid w:val="000464FF"/>
    <w:rsid w:val="000528EF"/>
    <w:rsid w:val="00052BC5"/>
    <w:rsid w:val="00054E25"/>
    <w:rsid w:val="00057693"/>
    <w:rsid w:val="000614AE"/>
    <w:rsid w:val="00063FC0"/>
    <w:rsid w:val="00064A1C"/>
    <w:rsid w:val="00065609"/>
    <w:rsid w:val="00066248"/>
    <w:rsid w:val="00077519"/>
    <w:rsid w:val="00083675"/>
    <w:rsid w:val="00085E94"/>
    <w:rsid w:val="00087D8A"/>
    <w:rsid w:val="000909F0"/>
    <w:rsid w:val="000932DF"/>
    <w:rsid w:val="0009457F"/>
    <w:rsid w:val="00094C9D"/>
    <w:rsid w:val="00094F14"/>
    <w:rsid w:val="00095D1E"/>
    <w:rsid w:val="00097975"/>
    <w:rsid w:val="000A3F80"/>
    <w:rsid w:val="000A57B8"/>
    <w:rsid w:val="000B14C3"/>
    <w:rsid w:val="000B1E0F"/>
    <w:rsid w:val="000B4670"/>
    <w:rsid w:val="000B5145"/>
    <w:rsid w:val="000B7354"/>
    <w:rsid w:val="000C33AC"/>
    <w:rsid w:val="000C6585"/>
    <w:rsid w:val="000D3E98"/>
    <w:rsid w:val="000E30E4"/>
    <w:rsid w:val="000E471E"/>
    <w:rsid w:val="000F1805"/>
    <w:rsid w:val="000F3F08"/>
    <w:rsid w:val="000F3F3D"/>
    <w:rsid w:val="000F72CA"/>
    <w:rsid w:val="00100FDC"/>
    <w:rsid w:val="001022C6"/>
    <w:rsid w:val="0010427E"/>
    <w:rsid w:val="001218C4"/>
    <w:rsid w:val="0012336D"/>
    <w:rsid w:val="00131220"/>
    <w:rsid w:val="0013703B"/>
    <w:rsid w:val="001374A2"/>
    <w:rsid w:val="00141517"/>
    <w:rsid w:val="0014634C"/>
    <w:rsid w:val="001510EB"/>
    <w:rsid w:val="00151435"/>
    <w:rsid w:val="00154919"/>
    <w:rsid w:val="001565B6"/>
    <w:rsid w:val="0015734A"/>
    <w:rsid w:val="00161A95"/>
    <w:rsid w:val="0016326D"/>
    <w:rsid w:val="0016499A"/>
    <w:rsid w:val="00164EBA"/>
    <w:rsid w:val="00165C52"/>
    <w:rsid w:val="001671FC"/>
    <w:rsid w:val="00170B38"/>
    <w:rsid w:val="001755E6"/>
    <w:rsid w:val="00175E48"/>
    <w:rsid w:val="001818AD"/>
    <w:rsid w:val="00182277"/>
    <w:rsid w:val="00186C19"/>
    <w:rsid w:val="0019466C"/>
    <w:rsid w:val="00194FC3"/>
    <w:rsid w:val="00196529"/>
    <w:rsid w:val="001974A1"/>
    <w:rsid w:val="001A3247"/>
    <w:rsid w:val="001A3D54"/>
    <w:rsid w:val="001A44EE"/>
    <w:rsid w:val="001B0E6B"/>
    <w:rsid w:val="001B549B"/>
    <w:rsid w:val="001C1E15"/>
    <w:rsid w:val="001C51FC"/>
    <w:rsid w:val="001C6872"/>
    <w:rsid w:val="001C7A30"/>
    <w:rsid w:val="001C7C50"/>
    <w:rsid w:val="001D222E"/>
    <w:rsid w:val="001D2248"/>
    <w:rsid w:val="001D3964"/>
    <w:rsid w:val="001E03AF"/>
    <w:rsid w:val="001E33B0"/>
    <w:rsid w:val="001F08E0"/>
    <w:rsid w:val="00202C34"/>
    <w:rsid w:val="002041BC"/>
    <w:rsid w:val="00205BD4"/>
    <w:rsid w:val="00205F6E"/>
    <w:rsid w:val="00214AE1"/>
    <w:rsid w:val="002150BD"/>
    <w:rsid w:val="0022141D"/>
    <w:rsid w:val="00222595"/>
    <w:rsid w:val="00222FC3"/>
    <w:rsid w:val="002270B6"/>
    <w:rsid w:val="00231104"/>
    <w:rsid w:val="00231AE7"/>
    <w:rsid w:val="00234FA9"/>
    <w:rsid w:val="00236C3F"/>
    <w:rsid w:val="002419FD"/>
    <w:rsid w:val="00243967"/>
    <w:rsid w:val="00244280"/>
    <w:rsid w:val="00246BCF"/>
    <w:rsid w:val="00254B49"/>
    <w:rsid w:val="002555C1"/>
    <w:rsid w:val="002614D5"/>
    <w:rsid w:val="002617DA"/>
    <w:rsid w:val="00261AFE"/>
    <w:rsid w:val="002623F6"/>
    <w:rsid w:val="00262ACD"/>
    <w:rsid w:val="00263704"/>
    <w:rsid w:val="00265841"/>
    <w:rsid w:val="002662F2"/>
    <w:rsid w:val="00273B7F"/>
    <w:rsid w:val="00275610"/>
    <w:rsid w:val="0027594B"/>
    <w:rsid w:val="002766A5"/>
    <w:rsid w:val="00282DC0"/>
    <w:rsid w:val="00285050"/>
    <w:rsid w:val="00290038"/>
    <w:rsid w:val="0029033C"/>
    <w:rsid w:val="00291D04"/>
    <w:rsid w:val="00293F86"/>
    <w:rsid w:val="002A06F5"/>
    <w:rsid w:val="002A24BB"/>
    <w:rsid w:val="002A2C51"/>
    <w:rsid w:val="002A34CD"/>
    <w:rsid w:val="002A7980"/>
    <w:rsid w:val="002B5435"/>
    <w:rsid w:val="002C25F9"/>
    <w:rsid w:val="002C6E1F"/>
    <w:rsid w:val="002C6F24"/>
    <w:rsid w:val="002D12E3"/>
    <w:rsid w:val="002D1F66"/>
    <w:rsid w:val="002D2861"/>
    <w:rsid w:val="002D39D3"/>
    <w:rsid w:val="002D4018"/>
    <w:rsid w:val="002D4765"/>
    <w:rsid w:val="002D5410"/>
    <w:rsid w:val="002D6979"/>
    <w:rsid w:val="002E344D"/>
    <w:rsid w:val="002E397F"/>
    <w:rsid w:val="002E6973"/>
    <w:rsid w:val="002E7EAA"/>
    <w:rsid w:val="002F7B6F"/>
    <w:rsid w:val="00301D6F"/>
    <w:rsid w:val="00304586"/>
    <w:rsid w:val="00305774"/>
    <w:rsid w:val="003122E6"/>
    <w:rsid w:val="00312D53"/>
    <w:rsid w:val="003200EA"/>
    <w:rsid w:val="00327AE4"/>
    <w:rsid w:val="003355A9"/>
    <w:rsid w:val="0034157A"/>
    <w:rsid w:val="003432D4"/>
    <w:rsid w:val="00343B0B"/>
    <w:rsid w:val="00346A8B"/>
    <w:rsid w:val="003563B5"/>
    <w:rsid w:val="00375521"/>
    <w:rsid w:val="00381E9C"/>
    <w:rsid w:val="00382D17"/>
    <w:rsid w:val="00386E7E"/>
    <w:rsid w:val="00395EA7"/>
    <w:rsid w:val="003A06A1"/>
    <w:rsid w:val="003A2EDA"/>
    <w:rsid w:val="003A6516"/>
    <w:rsid w:val="003A65CB"/>
    <w:rsid w:val="003B0451"/>
    <w:rsid w:val="003B2F67"/>
    <w:rsid w:val="003B4A78"/>
    <w:rsid w:val="003B4F40"/>
    <w:rsid w:val="003C6DC4"/>
    <w:rsid w:val="003E05C1"/>
    <w:rsid w:val="003E354C"/>
    <w:rsid w:val="00402A1F"/>
    <w:rsid w:val="00402AA5"/>
    <w:rsid w:val="00404AAC"/>
    <w:rsid w:val="00406125"/>
    <w:rsid w:val="004130DD"/>
    <w:rsid w:val="00416D62"/>
    <w:rsid w:val="00423EA9"/>
    <w:rsid w:val="004250AB"/>
    <w:rsid w:val="00425986"/>
    <w:rsid w:val="00431750"/>
    <w:rsid w:val="0043493F"/>
    <w:rsid w:val="0043778F"/>
    <w:rsid w:val="00437BE7"/>
    <w:rsid w:val="00441B46"/>
    <w:rsid w:val="0044562C"/>
    <w:rsid w:val="00454200"/>
    <w:rsid w:val="00454304"/>
    <w:rsid w:val="004570BB"/>
    <w:rsid w:val="00462E9D"/>
    <w:rsid w:val="00474A29"/>
    <w:rsid w:val="00483CA2"/>
    <w:rsid w:val="00492844"/>
    <w:rsid w:val="00495747"/>
    <w:rsid w:val="00495BAD"/>
    <w:rsid w:val="00497094"/>
    <w:rsid w:val="004A0146"/>
    <w:rsid w:val="004A0533"/>
    <w:rsid w:val="004B5284"/>
    <w:rsid w:val="004C1E43"/>
    <w:rsid w:val="004C6C25"/>
    <w:rsid w:val="004D25B5"/>
    <w:rsid w:val="004D34D6"/>
    <w:rsid w:val="004D7215"/>
    <w:rsid w:val="004F52DE"/>
    <w:rsid w:val="004F58D7"/>
    <w:rsid w:val="004F6357"/>
    <w:rsid w:val="00500EE0"/>
    <w:rsid w:val="005025C7"/>
    <w:rsid w:val="005073EA"/>
    <w:rsid w:val="00507763"/>
    <w:rsid w:val="0051202A"/>
    <w:rsid w:val="0051517A"/>
    <w:rsid w:val="00520B69"/>
    <w:rsid w:val="005221D9"/>
    <w:rsid w:val="005268E3"/>
    <w:rsid w:val="005272C9"/>
    <w:rsid w:val="005273D4"/>
    <w:rsid w:val="00531349"/>
    <w:rsid w:val="00542CA0"/>
    <w:rsid w:val="00542F38"/>
    <w:rsid w:val="00544C7D"/>
    <w:rsid w:val="00547B92"/>
    <w:rsid w:val="005616AD"/>
    <w:rsid w:val="005630E6"/>
    <w:rsid w:val="00571FC9"/>
    <w:rsid w:val="0057456A"/>
    <w:rsid w:val="00574BED"/>
    <w:rsid w:val="00581E92"/>
    <w:rsid w:val="0058296A"/>
    <w:rsid w:val="00585BB5"/>
    <w:rsid w:val="00591066"/>
    <w:rsid w:val="005A102D"/>
    <w:rsid w:val="005A337F"/>
    <w:rsid w:val="005A6BE5"/>
    <w:rsid w:val="005B21B2"/>
    <w:rsid w:val="005B6F3A"/>
    <w:rsid w:val="005C2643"/>
    <w:rsid w:val="005C2C78"/>
    <w:rsid w:val="005C47F4"/>
    <w:rsid w:val="005C4CAD"/>
    <w:rsid w:val="005C5FF2"/>
    <w:rsid w:val="005D36C8"/>
    <w:rsid w:val="005D5FD4"/>
    <w:rsid w:val="005D6794"/>
    <w:rsid w:val="005E546C"/>
    <w:rsid w:val="005E7048"/>
    <w:rsid w:val="005F074A"/>
    <w:rsid w:val="005F21A8"/>
    <w:rsid w:val="006054D9"/>
    <w:rsid w:val="00605BEF"/>
    <w:rsid w:val="00607B63"/>
    <w:rsid w:val="00626BF3"/>
    <w:rsid w:val="00637291"/>
    <w:rsid w:val="00641DA7"/>
    <w:rsid w:val="00644137"/>
    <w:rsid w:val="00644700"/>
    <w:rsid w:val="00651FBA"/>
    <w:rsid w:val="00653A5F"/>
    <w:rsid w:val="0065574C"/>
    <w:rsid w:val="006571D7"/>
    <w:rsid w:val="006573A7"/>
    <w:rsid w:val="0067035A"/>
    <w:rsid w:val="00670FAE"/>
    <w:rsid w:val="00676F03"/>
    <w:rsid w:val="006854C9"/>
    <w:rsid w:val="00695CAD"/>
    <w:rsid w:val="00696E31"/>
    <w:rsid w:val="006971DF"/>
    <w:rsid w:val="006C0776"/>
    <w:rsid w:val="006C1121"/>
    <w:rsid w:val="006C5E91"/>
    <w:rsid w:val="006D0907"/>
    <w:rsid w:val="006D5E54"/>
    <w:rsid w:val="006D6EEC"/>
    <w:rsid w:val="006D7718"/>
    <w:rsid w:val="006E3A68"/>
    <w:rsid w:val="006E478F"/>
    <w:rsid w:val="006E7911"/>
    <w:rsid w:val="006F210A"/>
    <w:rsid w:val="006F38A1"/>
    <w:rsid w:val="006F4124"/>
    <w:rsid w:val="007037D1"/>
    <w:rsid w:val="00704E3C"/>
    <w:rsid w:val="0071766B"/>
    <w:rsid w:val="00720779"/>
    <w:rsid w:val="00722545"/>
    <w:rsid w:val="007260DF"/>
    <w:rsid w:val="007261B6"/>
    <w:rsid w:val="007269CD"/>
    <w:rsid w:val="0073133E"/>
    <w:rsid w:val="007324D3"/>
    <w:rsid w:val="007409A0"/>
    <w:rsid w:val="00742E11"/>
    <w:rsid w:val="00754033"/>
    <w:rsid w:val="00755B92"/>
    <w:rsid w:val="0076606E"/>
    <w:rsid w:val="007678BF"/>
    <w:rsid w:val="007741A9"/>
    <w:rsid w:val="00777FB2"/>
    <w:rsid w:val="00780F2C"/>
    <w:rsid w:val="00781570"/>
    <w:rsid w:val="007828BD"/>
    <w:rsid w:val="00783D80"/>
    <w:rsid w:val="00784B0C"/>
    <w:rsid w:val="00787B7D"/>
    <w:rsid w:val="00787CC0"/>
    <w:rsid w:val="00790402"/>
    <w:rsid w:val="00790E4A"/>
    <w:rsid w:val="00793521"/>
    <w:rsid w:val="00794008"/>
    <w:rsid w:val="007954CE"/>
    <w:rsid w:val="00797EF7"/>
    <w:rsid w:val="007A074F"/>
    <w:rsid w:val="007A3A58"/>
    <w:rsid w:val="007B31D4"/>
    <w:rsid w:val="007B3688"/>
    <w:rsid w:val="007B4C08"/>
    <w:rsid w:val="007B56CD"/>
    <w:rsid w:val="007C663B"/>
    <w:rsid w:val="007C68F3"/>
    <w:rsid w:val="007C73A8"/>
    <w:rsid w:val="007D3E8F"/>
    <w:rsid w:val="007D7252"/>
    <w:rsid w:val="007E3975"/>
    <w:rsid w:val="007E72EA"/>
    <w:rsid w:val="007F4726"/>
    <w:rsid w:val="007F51C1"/>
    <w:rsid w:val="007F6E1E"/>
    <w:rsid w:val="00804FF0"/>
    <w:rsid w:val="00811399"/>
    <w:rsid w:val="00813366"/>
    <w:rsid w:val="008167DE"/>
    <w:rsid w:val="00820E08"/>
    <w:rsid w:val="00824E04"/>
    <w:rsid w:val="008345A2"/>
    <w:rsid w:val="00836248"/>
    <w:rsid w:val="00837F98"/>
    <w:rsid w:val="00840CDF"/>
    <w:rsid w:val="008412CD"/>
    <w:rsid w:val="00845309"/>
    <w:rsid w:val="008464F6"/>
    <w:rsid w:val="008477C1"/>
    <w:rsid w:val="0085017D"/>
    <w:rsid w:val="00861B1F"/>
    <w:rsid w:val="00866CB3"/>
    <w:rsid w:val="00880932"/>
    <w:rsid w:val="0088126D"/>
    <w:rsid w:val="00883A6E"/>
    <w:rsid w:val="00883E02"/>
    <w:rsid w:val="00887720"/>
    <w:rsid w:val="00890793"/>
    <w:rsid w:val="00892014"/>
    <w:rsid w:val="008A003F"/>
    <w:rsid w:val="008A2B2D"/>
    <w:rsid w:val="008A72FA"/>
    <w:rsid w:val="008B1C16"/>
    <w:rsid w:val="008C1AE7"/>
    <w:rsid w:val="008C3E42"/>
    <w:rsid w:val="008C5431"/>
    <w:rsid w:val="008D05F9"/>
    <w:rsid w:val="008D0EA2"/>
    <w:rsid w:val="008D3272"/>
    <w:rsid w:val="008D7ABA"/>
    <w:rsid w:val="008E640D"/>
    <w:rsid w:val="008F3882"/>
    <w:rsid w:val="008F681E"/>
    <w:rsid w:val="009021A1"/>
    <w:rsid w:val="009033BB"/>
    <w:rsid w:val="00907A02"/>
    <w:rsid w:val="0091784D"/>
    <w:rsid w:val="00917A28"/>
    <w:rsid w:val="00924E0B"/>
    <w:rsid w:val="00927BD0"/>
    <w:rsid w:val="00933D6B"/>
    <w:rsid w:val="009346E0"/>
    <w:rsid w:val="009370F1"/>
    <w:rsid w:val="00937A0C"/>
    <w:rsid w:val="009538A9"/>
    <w:rsid w:val="00954C33"/>
    <w:rsid w:val="00971FD0"/>
    <w:rsid w:val="00975CFC"/>
    <w:rsid w:val="00976ACF"/>
    <w:rsid w:val="00977A69"/>
    <w:rsid w:val="009826B1"/>
    <w:rsid w:val="00990037"/>
    <w:rsid w:val="00993F69"/>
    <w:rsid w:val="009A1E11"/>
    <w:rsid w:val="009A3622"/>
    <w:rsid w:val="009A696D"/>
    <w:rsid w:val="009A77FA"/>
    <w:rsid w:val="009B1BE7"/>
    <w:rsid w:val="009B4316"/>
    <w:rsid w:val="009B5986"/>
    <w:rsid w:val="009D2447"/>
    <w:rsid w:val="009D4F6A"/>
    <w:rsid w:val="009E7B83"/>
    <w:rsid w:val="009F214D"/>
    <w:rsid w:val="009F764A"/>
    <w:rsid w:val="00A068E2"/>
    <w:rsid w:val="00A218EF"/>
    <w:rsid w:val="00A25F24"/>
    <w:rsid w:val="00A27296"/>
    <w:rsid w:val="00A30907"/>
    <w:rsid w:val="00A33F26"/>
    <w:rsid w:val="00A353FF"/>
    <w:rsid w:val="00A37A6A"/>
    <w:rsid w:val="00A46695"/>
    <w:rsid w:val="00A51A12"/>
    <w:rsid w:val="00A56FF7"/>
    <w:rsid w:val="00A57E3A"/>
    <w:rsid w:val="00A65B71"/>
    <w:rsid w:val="00A7132F"/>
    <w:rsid w:val="00A74DD1"/>
    <w:rsid w:val="00A7595E"/>
    <w:rsid w:val="00A7747E"/>
    <w:rsid w:val="00A85A7A"/>
    <w:rsid w:val="00A8797D"/>
    <w:rsid w:val="00A90D4B"/>
    <w:rsid w:val="00A91C8A"/>
    <w:rsid w:val="00A93761"/>
    <w:rsid w:val="00A95A85"/>
    <w:rsid w:val="00AA18CE"/>
    <w:rsid w:val="00AA5817"/>
    <w:rsid w:val="00AA65A7"/>
    <w:rsid w:val="00AA68A6"/>
    <w:rsid w:val="00AB3B61"/>
    <w:rsid w:val="00AB696F"/>
    <w:rsid w:val="00AC2D29"/>
    <w:rsid w:val="00AC5D30"/>
    <w:rsid w:val="00AC63AD"/>
    <w:rsid w:val="00AD342C"/>
    <w:rsid w:val="00AD3FA9"/>
    <w:rsid w:val="00AD4A36"/>
    <w:rsid w:val="00AE6949"/>
    <w:rsid w:val="00AF004A"/>
    <w:rsid w:val="00AF4378"/>
    <w:rsid w:val="00B0092A"/>
    <w:rsid w:val="00B0096E"/>
    <w:rsid w:val="00B02972"/>
    <w:rsid w:val="00B03A87"/>
    <w:rsid w:val="00B10001"/>
    <w:rsid w:val="00B10284"/>
    <w:rsid w:val="00B12FC4"/>
    <w:rsid w:val="00B13593"/>
    <w:rsid w:val="00B27242"/>
    <w:rsid w:val="00B41C3A"/>
    <w:rsid w:val="00B44D88"/>
    <w:rsid w:val="00B44E71"/>
    <w:rsid w:val="00B47059"/>
    <w:rsid w:val="00B47D2A"/>
    <w:rsid w:val="00B5223D"/>
    <w:rsid w:val="00B540F7"/>
    <w:rsid w:val="00B555A2"/>
    <w:rsid w:val="00B61620"/>
    <w:rsid w:val="00B65574"/>
    <w:rsid w:val="00B678BB"/>
    <w:rsid w:val="00B7225D"/>
    <w:rsid w:val="00B7291C"/>
    <w:rsid w:val="00B73D6D"/>
    <w:rsid w:val="00B75A12"/>
    <w:rsid w:val="00B828ED"/>
    <w:rsid w:val="00B859CC"/>
    <w:rsid w:val="00BA138F"/>
    <w:rsid w:val="00BA46BB"/>
    <w:rsid w:val="00BB2F71"/>
    <w:rsid w:val="00BB495E"/>
    <w:rsid w:val="00BB6BF7"/>
    <w:rsid w:val="00BB77C1"/>
    <w:rsid w:val="00BC2F66"/>
    <w:rsid w:val="00BC316B"/>
    <w:rsid w:val="00BC45C3"/>
    <w:rsid w:val="00BC5762"/>
    <w:rsid w:val="00BC5A2F"/>
    <w:rsid w:val="00BD5709"/>
    <w:rsid w:val="00BD5B63"/>
    <w:rsid w:val="00BE6B36"/>
    <w:rsid w:val="00BE6B5E"/>
    <w:rsid w:val="00BE7B95"/>
    <w:rsid w:val="00BF68BB"/>
    <w:rsid w:val="00C006BC"/>
    <w:rsid w:val="00C00791"/>
    <w:rsid w:val="00C02D16"/>
    <w:rsid w:val="00C1355D"/>
    <w:rsid w:val="00C145A0"/>
    <w:rsid w:val="00C16E56"/>
    <w:rsid w:val="00C230CF"/>
    <w:rsid w:val="00C30232"/>
    <w:rsid w:val="00C3262C"/>
    <w:rsid w:val="00C32FA4"/>
    <w:rsid w:val="00C415A3"/>
    <w:rsid w:val="00C45E3E"/>
    <w:rsid w:val="00C4723E"/>
    <w:rsid w:val="00C528C5"/>
    <w:rsid w:val="00C54C7B"/>
    <w:rsid w:val="00C67C0A"/>
    <w:rsid w:val="00C746D9"/>
    <w:rsid w:val="00C90CA9"/>
    <w:rsid w:val="00CB36FE"/>
    <w:rsid w:val="00CB4619"/>
    <w:rsid w:val="00CB6A24"/>
    <w:rsid w:val="00CC5C86"/>
    <w:rsid w:val="00CC67BC"/>
    <w:rsid w:val="00CD2EB2"/>
    <w:rsid w:val="00CD3B2B"/>
    <w:rsid w:val="00CE04D2"/>
    <w:rsid w:val="00CE78E2"/>
    <w:rsid w:val="00CF1A71"/>
    <w:rsid w:val="00CF3FB7"/>
    <w:rsid w:val="00CF5265"/>
    <w:rsid w:val="00CF600C"/>
    <w:rsid w:val="00CF6A95"/>
    <w:rsid w:val="00D039A9"/>
    <w:rsid w:val="00D06A4A"/>
    <w:rsid w:val="00D07867"/>
    <w:rsid w:val="00D103F5"/>
    <w:rsid w:val="00D108FE"/>
    <w:rsid w:val="00D1152F"/>
    <w:rsid w:val="00D14E9B"/>
    <w:rsid w:val="00D14F2B"/>
    <w:rsid w:val="00D164E2"/>
    <w:rsid w:val="00D20035"/>
    <w:rsid w:val="00D25656"/>
    <w:rsid w:val="00D270EE"/>
    <w:rsid w:val="00D273A2"/>
    <w:rsid w:val="00D33DB9"/>
    <w:rsid w:val="00D34199"/>
    <w:rsid w:val="00D350A1"/>
    <w:rsid w:val="00D370D2"/>
    <w:rsid w:val="00D41DB8"/>
    <w:rsid w:val="00D46396"/>
    <w:rsid w:val="00D56478"/>
    <w:rsid w:val="00D613C7"/>
    <w:rsid w:val="00D625AC"/>
    <w:rsid w:val="00D63F8A"/>
    <w:rsid w:val="00D648EB"/>
    <w:rsid w:val="00D725EE"/>
    <w:rsid w:val="00D813EA"/>
    <w:rsid w:val="00D83EE8"/>
    <w:rsid w:val="00D84756"/>
    <w:rsid w:val="00D91910"/>
    <w:rsid w:val="00D92728"/>
    <w:rsid w:val="00D94B61"/>
    <w:rsid w:val="00D96ADD"/>
    <w:rsid w:val="00D97A8B"/>
    <w:rsid w:val="00DA05C5"/>
    <w:rsid w:val="00DA2F72"/>
    <w:rsid w:val="00DA313C"/>
    <w:rsid w:val="00DA4E12"/>
    <w:rsid w:val="00DB2785"/>
    <w:rsid w:val="00DB297C"/>
    <w:rsid w:val="00DB5E64"/>
    <w:rsid w:val="00DC1EA8"/>
    <w:rsid w:val="00DC21CC"/>
    <w:rsid w:val="00DC6906"/>
    <w:rsid w:val="00DD4CAA"/>
    <w:rsid w:val="00DD4D06"/>
    <w:rsid w:val="00DE2DAA"/>
    <w:rsid w:val="00DE4120"/>
    <w:rsid w:val="00DF0FB0"/>
    <w:rsid w:val="00E032F8"/>
    <w:rsid w:val="00E079DD"/>
    <w:rsid w:val="00E1183B"/>
    <w:rsid w:val="00E143AD"/>
    <w:rsid w:val="00E15838"/>
    <w:rsid w:val="00E2494D"/>
    <w:rsid w:val="00E34D8A"/>
    <w:rsid w:val="00E36C70"/>
    <w:rsid w:val="00E404A8"/>
    <w:rsid w:val="00E4073A"/>
    <w:rsid w:val="00E40775"/>
    <w:rsid w:val="00E40BA2"/>
    <w:rsid w:val="00E42C00"/>
    <w:rsid w:val="00E442D2"/>
    <w:rsid w:val="00E46248"/>
    <w:rsid w:val="00E4645E"/>
    <w:rsid w:val="00E56B5A"/>
    <w:rsid w:val="00E579A3"/>
    <w:rsid w:val="00E6126F"/>
    <w:rsid w:val="00E61F0B"/>
    <w:rsid w:val="00E63DE7"/>
    <w:rsid w:val="00E702DC"/>
    <w:rsid w:val="00E70A9A"/>
    <w:rsid w:val="00E735A0"/>
    <w:rsid w:val="00E749B4"/>
    <w:rsid w:val="00E82461"/>
    <w:rsid w:val="00E8266D"/>
    <w:rsid w:val="00E83F4F"/>
    <w:rsid w:val="00E851AC"/>
    <w:rsid w:val="00E872FE"/>
    <w:rsid w:val="00E90025"/>
    <w:rsid w:val="00E942A2"/>
    <w:rsid w:val="00EA240E"/>
    <w:rsid w:val="00EA2A91"/>
    <w:rsid w:val="00EA4DCC"/>
    <w:rsid w:val="00EA7CB9"/>
    <w:rsid w:val="00EA7D86"/>
    <w:rsid w:val="00EB38BA"/>
    <w:rsid w:val="00EB3A79"/>
    <w:rsid w:val="00EB4BE0"/>
    <w:rsid w:val="00EC743B"/>
    <w:rsid w:val="00ED37DB"/>
    <w:rsid w:val="00ED635F"/>
    <w:rsid w:val="00ED6EF1"/>
    <w:rsid w:val="00ED77D3"/>
    <w:rsid w:val="00EE2BE2"/>
    <w:rsid w:val="00EE2C95"/>
    <w:rsid w:val="00EE6849"/>
    <w:rsid w:val="00EE72F1"/>
    <w:rsid w:val="00EF1A9C"/>
    <w:rsid w:val="00EF2F5A"/>
    <w:rsid w:val="00EF2FFC"/>
    <w:rsid w:val="00EF73F5"/>
    <w:rsid w:val="00F04807"/>
    <w:rsid w:val="00F06679"/>
    <w:rsid w:val="00F076A8"/>
    <w:rsid w:val="00F1138A"/>
    <w:rsid w:val="00F1744C"/>
    <w:rsid w:val="00F23723"/>
    <w:rsid w:val="00F25524"/>
    <w:rsid w:val="00F30E8A"/>
    <w:rsid w:val="00F37D87"/>
    <w:rsid w:val="00F4536B"/>
    <w:rsid w:val="00F46621"/>
    <w:rsid w:val="00F570BD"/>
    <w:rsid w:val="00F6231F"/>
    <w:rsid w:val="00F62CB6"/>
    <w:rsid w:val="00F70780"/>
    <w:rsid w:val="00F803DA"/>
    <w:rsid w:val="00F8552A"/>
    <w:rsid w:val="00F90C27"/>
    <w:rsid w:val="00F92821"/>
    <w:rsid w:val="00F93C68"/>
    <w:rsid w:val="00F9470D"/>
    <w:rsid w:val="00F947FE"/>
    <w:rsid w:val="00F96B1A"/>
    <w:rsid w:val="00FA3BE1"/>
    <w:rsid w:val="00FA6505"/>
    <w:rsid w:val="00FA7391"/>
    <w:rsid w:val="00FB18A9"/>
    <w:rsid w:val="00FB5D58"/>
    <w:rsid w:val="00FB5EE1"/>
    <w:rsid w:val="00FF0706"/>
    <w:rsid w:val="00FF37DC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4239"/>
  <w15:chartTrackingRefBased/>
  <w15:docId w15:val="{B4D1E13E-E032-4B30-92C7-F1DCE161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248"/>
  </w:style>
  <w:style w:type="paragraph" w:styleId="Heading1">
    <w:name w:val="heading 1"/>
    <w:basedOn w:val="Normal"/>
    <w:next w:val="Standfirst"/>
    <w:link w:val="Heading1Char"/>
    <w:autoRedefine/>
    <w:uiPriority w:val="9"/>
    <w:qFormat/>
    <w:rsid w:val="00437BE7"/>
    <w:pPr>
      <w:keepNext/>
      <w:keepLines/>
      <w:pageBreakBefore/>
      <w:spacing w:before="120"/>
      <w:jc w:val="both"/>
      <w:outlineLvl w:val="0"/>
    </w:pPr>
    <w:rPr>
      <w:b/>
      <w:color w:val="009A91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7BE7"/>
    <w:pPr>
      <w:keepNext/>
      <w:keepLines/>
      <w:spacing w:before="240"/>
      <w:outlineLvl w:val="1"/>
    </w:pPr>
    <w:rPr>
      <w:b/>
      <w:color w:val="009A91"/>
      <w:sz w:val="28"/>
      <w:szCs w:val="36"/>
    </w:rPr>
  </w:style>
  <w:style w:type="paragraph" w:styleId="Heading3">
    <w:name w:val="heading 3"/>
    <w:basedOn w:val="Normal"/>
    <w:next w:val="Normal"/>
    <w:link w:val="Heading3Char"/>
    <w:qFormat/>
    <w:rsid w:val="00437BE7"/>
    <w:pPr>
      <w:keepNext/>
      <w:keepLines/>
      <w:spacing w:before="120"/>
      <w:contextualSpacing/>
      <w:outlineLvl w:val="2"/>
    </w:pPr>
    <w:rPr>
      <w:b/>
      <w:color w:val="009A91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37BE7"/>
    <w:pPr>
      <w:keepNext/>
      <w:keepLines/>
      <w:contextualSpacing/>
      <w:outlineLvl w:val="3"/>
    </w:pPr>
    <w:rPr>
      <w:b/>
      <w:color w:val="009A91"/>
    </w:rPr>
  </w:style>
  <w:style w:type="paragraph" w:styleId="Heading5">
    <w:name w:val="heading 5"/>
    <w:basedOn w:val="Normal"/>
    <w:next w:val="Normal"/>
    <w:link w:val="Heading5Char"/>
    <w:uiPriority w:val="9"/>
    <w:qFormat/>
    <w:rsid w:val="00437BE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143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143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3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3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Subtitle"/>
    <w:link w:val="AuthorChar"/>
    <w:uiPriority w:val="2"/>
    <w:qFormat/>
    <w:rsid w:val="00437BE7"/>
    <w:pPr>
      <w:spacing w:after="1200"/>
    </w:pPr>
    <w:rPr>
      <w:sz w:val="32"/>
    </w:rPr>
  </w:style>
  <w:style w:type="character" w:customStyle="1" w:styleId="AuthorChar">
    <w:name w:val="Author Char"/>
    <w:basedOn w:val="SubtitleChar"/>
    <w:link w:val="Author"/>
    <w:uiPriority w:val="2"/>
    <w:rsid w:val="00437BE7"/>
    <w:rPr>
      <w:b/>
      <w:sz w:val="32"/>
    </w:rPr>
  </w:style>
  <w:style w:type="paragraph" w:styleId="Subtitle">
    <w:name w:val="Subtitle"/>
    <w:basedOn w:val="Normal"/>
    <w:next w:val="Normal"/>
    <w:link w:val="SubtitleChar"/>
    <w:qFormat/>
    <w:rsid w:val="00437BE7"/>
    <w:rPr>
      <w:b/>
    </w:rPr>
  </w:style>
  <w:style w:type="character" w:customStyle="1" w:styleId="SubtitleChar">
    <w:name w:val="Subtitle Char"/>
    <w:basedOn w:val="DefaultParagraphFont"/>
    <w:link w:val="Subtitle"/>
    <w:rsid w:val="00437BE7"/>
    <w:rPr>
      <w:b/>
      <w:sz w:val="24"/>
    </w:rPr>
  </w:style>
  <w:style w:type="paragraph" w:customStyle="1" w:styleId="Standfirst">
    <w:name w:val="Standfirst"/>
    <w:basedOn w:val="Normal"/>
    <w:next w:val="Normal"/>
    <w:link w:val="StandfirstChar"/>
    <w:uiPriority w:val="1"/>
    <w:qFormat/>
    <w:rsid w:val="00437BE7"/>
    <w:pPr>
      <w:spacing w:after="240"/>
    </w:pPr>
    <w:rPr>
      <w:b/>
      <w:color w:val="009A91"/>
    </w:rPr>
  </w:style>
  <w:style w:type="character" w:customStyle="1" w:styleId="StandfirstChar">
    <w:name w:val="Standfirst Char"/>
    <w:basedOn w:val="DefaultParagraphFont"/>
    <w:link w:val="Standfirst"/>
    <w:uiPriority w:val="1"/>
    <w:rsid w:val="00437BE7"/>
    <w:rPr>
      <w:b/>
      <w:color w:val="009A9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7BE7"/>
    <w:rPr>
      <w:b/>
      <w:color w:val="009A9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37BE7"/>
    <w:rPr>
      <w:b/>
      <w:color w:val="009A91"/>
      <w:sz w:val="28"/>
      <w:szCs w:val="36"/>
    </w:rPr>
  </w:style>
  <w:style w:type="character" w:customStyle="1" w:styleId="Heading3Char">
    <w:name w:val="Heading 3 Char"/>
    <w:basedOn w:val="DefaultParagraphFont"/>
    <w:link w:val="Heading3"/>
    <w:rsid w:val="00437BE7"/>
    <w:rPr>
      <w:b/>
      <w:color w:val="009A9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37BE7"/>
    <w:rPr>
      <w:b/>
      <w:color w:val="009A9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37BE7"/>
    <w:rPr>
      <w:color w:val="666666"/>
      <w:sz w:val="24"/>
    </w:rPr>
  </w:style>
  <w:style w:type="paragraph" w:styleId="Title">
    <w:name w:val="Title"/>
    <w:aliases w:val="Main title"/>
    <w:basedOn w:val="Normal"/>
    <w:next w:val="Normal"/>
    <w:link w:val="TitleChar"/>
    <w:uiPriority w:val="2"/>
    <w:qFormat/>
    <w:rsid w:val="00437BE7"/>
    <w:rPr>
      <w:b/>
      <w:bCs/>
      <w:color w:val="009A91"/>
      <w:sz w:val="72"/>
      <w:szCs w:val="72"/>
    </w:rPr>
  </w:style>
  <w:style w:type="character" w:customStyle="1" w:styleId="TitleChar">
    <w:name w:val="Title Char"/>
    <w:aliases w:val="Main title Char"/>
    <w:basedOn w:val="DefaultParagraphFont"/>
    <w:link w:val="Title"/>
    <w:uiPriority w:val="2"/>
    <w:rsid w:val="00437BE7"/>
    <w:rPr>
      <w:b/>
      <w:bCs/>
      <w:color w:val="009A91"/>
      <w:sz w:val="72"/>
      <w:szCs w:val="72"/>
    </w:rPr>
  </w:style>
  <w:style w:type="character" w:styleId="Strong">
    <w:name w:val="Strong"/>
    <w:basedOn w:val="DefaultParagraphFont"/>
    <w:uiPriority w:val="22"/>
    <w:qFormat/>
    <w:rsid w:val="00437BE7"/>
    <w:rPr>
      <w:b/>
      <w:bCs/>
    </w:rPr>
  </w:style>
  <w:style w:type="character" w:styleId="Emphasis">
    <w:name w:val="Emphasis"/>
    <w:basedOn w:val="DefaultParagraphFont"/>
    <w:uiPriority w:val="20"/>
    <w:qFormat/>
    <w:rsid w:val="00437BE7"/>
    <w:rPr>
      <w:i/>
      <w:iCs/>
    </w:rPr>
  </w:style>
  <w:style w:type="paragraph" w:styleId="NoSpacing">
    <w:name w:val="No Spacing"/>
    <w:uiPriority w:val="1"/>
    <w:qFormat/>
    <w:rsid w:val="00437BE7"/>
    <w:pPr>
      <w:spacing w:before="240" w:after="240"/>
    </w:pPr>
    <w:rPr>
      <w:rFonts w:eastAsiaTheme="minorHAnsi"/>
      <w:color w:val="auto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437BE7"/>
    <w:pPr>
      <w:tabs>
        <w:tab w:val="num" w:pos="720"/>
      </w:tabs>
      <w:spacing w:before="80"/>
      <w:ind w:left="714" w:hanging="357"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437BE7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37BE7"/>
    <w:pPr>
      <w:spacing w:before="200" w:after="160"/>
      <w:ind w:left="864" w:right="864"/>
      <w:jc w:val="center"/>
    </w:pPr>
    <w:rPr>
      <w:i/>
      <w:iCs/>
      <w:color w:val="16223C"/>
    </w:rPr>
  </w:style>
  <w:style w:type="character" w:customStyle="1" w:styleId="QuoteChar">
    <w:name w:val="Quote Char"/>
    <w:basedOn w:val="DefaultParagraphFont"/>
    <w:link w:val="Quote"/>
    <w:uiPriority w:val="29"/>
    <w:rsid w:val="00437BE7"/>
    <w:rPr>
      <w:i/>
      <w:iCs/>
      <w:color w:val="16223C"/>
      <w:sz w:val="24"/>
    </w:rPr>
  </w:style>
  <w:style w:type="paragraph" w:styleId="TOCHeading">
    <w:name w:val="TOC Heading"/>
    <w:aliases w:val="Body"/>
    <w:basedOn w:val="BodyText2"/>
    <w:next w:val="Normal"/>
    <w:uiPriority w:val="39"/>
    <w:unhideWhenUsed/>
    <w:qFormat/>
    <w:rsid w:val="00437BE7"/>
    <w:pPr>
      <w:overflowPunct w:val="0"/>
      <w:autoSpaceDE w:val="0"/>
      <w:autoSpaceDN w:val="0"/>
      <w:adjustRightInd w:val="0"/>
      <w:spacing w:before="120" w:line="259" w:lineRule="auto"/>
      <w:textAlignment w:val="baseline"/>
    </w:pPr>
    <w:rPr>
      <w:rFonts w:eastAsiaTheme="majorEastAsia" w:cstheme="majorBidi"/>
      <w:color w:val="auto"/>
      <w:sz w:val="21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7BE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7BE7"/>
  </w:style>
  <w:style w:type="character" w:customStyle="1" w:styleId="Heading6Char">
    <w:name w:val="Heading 6 Char"/>
    <w:basedOn w:val="DefaultParagraphFont"/>
    <w:link w:val="Heading6"/>
    <w:uiPriority w:val="9"/>
    <w:semiHidden/>
    <w:rsid w:val="00E143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3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3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3AD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rsid w:val="00E143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143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3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rsid w:val="00E143A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6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58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5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58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0458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5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A1"/>
  </w:style>
  <w:style w:type="paragraph" w:styleId="Footer">
    <w:name w:val="footer"/>
    <w:basedOn w:val="Normal"/>
    <w:link w:val="FooterChar"/>
    <w:uiPriority w:val="99"/>
    <w:unhideWhenUsed/>
    <w:rsid w:val="00D35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A1"/>
  </w:style>
  <w:style w:type="paragraph" w:styleId="BodyText">
    <w:name w:val="Body Text"/>
    <w:basedOn w:val="Normal"/>
    <w:link w:val="BodyTextChar"/>
    <w:uiPriority w:val="1"/>
    <w:qFormat/>
    <w:rsid w:val="00A272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27296"/>
    <w:rPr>
      <w:rFonts w:ascii="Calibri" w:eastAsia="Calibri" w:hAnsi="Calibri" w:cs="Calibri"/>
      <w:color w:val="auto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27296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bb268-9a4b-425f-aee2-f3ac244422dc" xsi:nil="true"/>
    <lcf76f155ced4ddcb4097134ff3c332f xmlns="5b5060b4-db76-4b1d-8791-7391eaa1aa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9F3383-83B8-45BA-8E9F-21A7EE06547C}"/>
</file>

<file path=customXml/itemProps2.xml><?xml version="1.0" encoding="utf-8"?>
<ds:datastoreItem xmlns:ds="http://schemas.openxmlformats.org/officeDocument/2006/customXml" ds:itemID="{E2678877-572C-4918-825C-E0F602B8E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DE28C-E6EC-4287-B9B8-6DDB8F79E9FA}">
  <ds:schemaRefs>
    <ds:schemaRef ds:uri="http://schemas.microsoft.com/office/2006/metadata/properties"/>
    <ds:schemaRef ds:uri="http://schemas.microsoft.com/office/infopath/2007/PartnerControls"/>
    <ds:schemaRef ds:uri="99ab9c12-b0d4-4def-b8e1-fbe1a9b0378c"/>
    <ds:schemaRef ds:uri="45671d71-1a40-4a0a-b7f1-25bb7a2b1c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1065</Words>
  <Characters>5808</Characters>
  <Application>Microsoft Office Word</Application>
  <DocSecurity>0</DocSecurity>
  <Lines>135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Stevens</dc:creator>
  <cp:keywords/>
  <dc:description/>
  <cp:lastModifiedBy>Fiona Bernardo</cp:lastModifiedBy>
  <cp:revision>2</cp:revision>
  <dcterms:created xsi:type="dcterms:W3CDTF">2026-04-09T09:38:00Z</dcterms:created>
  <dcterms:modified xsi:type="dcterms:W3CDTF">2026-04-09T09:38:00Z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0x010100D70841F7A326EF4BA8107F4346FA0A70</vt:lpwstr>
  </property>
</Properties>
</file>