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7BFB" w14:textId="77777777" w:rsidR="006B49CF" w:rsidRDefault="006B49CF" w:rsidP="008F6F2B">
      <w:pPr>
        <w:ind w:left="0" w:firstLine="0"/>
        <w:rPr>
          <w:b/>
        </w:rPr>
      </w:pPr>
    </w:p>
    <w:p w14:paraId="558B7BFC" w14:textId="0D48C95A" w:rsidR="006B49CF" w:rsidRDefault="00A975ED" w:rsidP="00CE594E">
      <w:pPr>
        <w:rPr>
          <w:b/>
        </w:rPr>
      </w:pPr>
      <w:r>
        <w:rPr>
          <w:b/>
          <w:noProof/>
          <w:sz w:val="28"/>
          <w:szCs w:val="28"/>
          <w:lang w:eastAsia="en-GB"/>
        </w:rPr>
        <mc:AlternateContent>
          <mc:Choice Requires="wps">
            <w:drawing>
              <wp:anchor distT="0" distB="0" distL="114300" distR="114300" simplePos="0" relativeHeight="251660288" behindDoc="0" locked="0" layoutInCell="1" allowOverlap="1" wp14:anchorId="558B7CC8" wp14:editId="32323710">
                <wp:simplePos x="0" y="0"/>
                <wp:positionH relativeFrom="margin">
                  <wp:align>right</wp:align>
                </wp:positionH>
                <wp:positionV relativeFrom="paragraph">
                  <wp:posOffset>70298</wp:posOffset>
                </wp:positionV>
                <wp:extent cx="1058545" cy="350520"/>
                <wp:effectExtent l="0" t="0" r="2730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350520"/>
                        </a:xfrm>
                        <a:prstGeom prst="rect">
                          <a:avLst/>
                        </a:prstGeom>
                        <a:solidFill>
                          <a:srgbClr val="FFFFFF"/>
                        </a:solidFill>
                        <a:ln w="9525">
                          <a:solidFill>
                            <a:srgbClr val="000000"/>
                          </a:solidFill>
                          <a:miter lim="800000"/>
                          <a:headEnd/>
                          <a:tailEnd/>
                        </a:ln>
                      </wps:spPr>
                      <wps:txbx>
                        <w:txbxContent>
                          <w:p w14:paraId="558B7CD6" w14:textId="472F34B3" w:rsidR="00952E79" w:rsidRPr="006B49CF" w:rsidRDefault="00F1749C" w:rsidP="00A0612C">
                            <w:pPr>
                              <w:ind w:hanging="1298"/>
                              <w:jc w:val="center"/>
                              <w:rPr>
                                <w:b/>
                                <w:sz w:val="32"/>
                                <w:szCs w:val="32"/>
                              </w:rPr>
                            </w:pPr>
                            <w:r>
                              <w:rPr>
                                <w:b/>
                                <w:sz w:val="32"/>
                                <w:szCs w:val="32"/>
                              </w:rPr>
                              <w:t xml:space="preserve">Item </w:t>
                            </w:r>
                            <w:r w:rsidR="00A91A68">
                              <w:rPr>
                                <w:b/>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B7CC8" id="_x0000_t202" coordsize="21600,21600" o:spt="202" path="m,l,21600r21600,l21600,xe">
                <v:stroke joinstyle="miter"/>
                <v:path gradientshapeok="t" o:connecttype="rect"/>
              </v:shapetype>
              <v:shape id="Text Box 2" o:spid="_x0000_s1026" type="#_x0000_t202" style="position:absolute;left:0;text-align:left;margin-left:32.15pt;margin-top:5.55pt;width:83.35pt;height:27.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">
                <v:textbox>
                  <w:txbxContent>
                    <w:p w14:paraId="558B7CD6" w14:textId="472F34B3" w:rsidR="00952E79" w:rsidRPr="006B49CF" w:rsidRDefault="00F1749C" w:rsidP="00A0612C">
                      <w:pPr>
                        <w:ind w:hanging="1298"/>
                        <w:jc w:val="center"/>
                        <w:rPr>
                          <w:b/>
                          <w:sz w:val="32"/>
                          <w:szCs w:val="32"/>
                        </w:rPr>
                      </w:pPr>
                      <w:r>
                        <w:rPr>
                          <w:b/>
                          <w:sz w:val="32"/>
                          <w:szCs w:val="32"/>
                        </w:rPr>
                        <w:t xml:space="preserve">Item </w:t>
                      </w:r>
                      <w:r w:rsidR="00A91A68">
                        <w:rPr>
                          <w:b/>
                          <w:sz w:val="32"/>
                          <w:szCs w:val="32"/>
                        </w:rPr>
                        <w:t>7</w:t>
                      </w:r>
                      <w:bookmarkStart w:id="1" w:name="_GoBack"/>
                      <w:bookmarkEnd w:id="1"/>
                    </w:p>
                  </w:txbxContent>
                </v:textbox>
                <w10:wrap anchorx="margin"/>
              </v:shape>
            </w:pict>
          </mc:Fallback>
        </mc:AlternateContent>
      </w:r>
      <w:r w:rsidR="00DF7399" w:rsidRPr="003E1810">
        <w:rPr>
          <w:noProof/>
          <w:sz w:val="24"/>
          <w:szCs w:val="24"/>
          <w:lang w:eastAsia="en-GB"/>
        </w:rPr>
        <w:drawing>
          <wp:anchor distT="0" distB="0" distL="114300" distR="114300" simplePos="0" relativeHeight="251659264" behindDoc="0" locked="0" layoutInCell="1" allowOverlap="1" wp14:anchorId="558B7CCA" wp14:editId="1908F8E7">
            <wp:simplePos x="0" y="0"/>
            <wp:positionH relativeFrom="page">
              <wp:posOffset>798195</wp:posOffset>
            </wp:positionH>
            <wp:positionV relativeFrom="page">
              <wp:posOffset>1154430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p>
    <w:p w14:paraId="558B7BFD" w14:textId="5E416190" w:rsidR="006B49CF" w:rsidRDefault="006B49CF" w:rsidP="00CE594E">
      <w:pPr>
        <w:rPr>
          <w:b/>
        </w:rPr>
      </w:pPr>
    </w:p>
    <w:p w14:paraId="558B7BFE" w14:textId="77777777" w:rsidR="00DF7399" w:rsidRDefault="00DF7399" w:rsidP="00DF7399">
      <w:pPr>
        <w:rPr>
          <w:b/>
          <w:sz w:val="28"/>
          <w:szCs w:val="28"/>
        </w:rPr>
      </w:pPr>
    </w:p>
    <w:p w14:paraId="558B7BFF" w14:textId="63ADD5EB" w:rsidR="00DF7399" w:rsidRDefault="00DF7399" w:rsidP="00DF7399">
      <w:pPr>
        <w:rPr>
          <w:b/>
          <w:sz w:val="28"/>
          <w:szCs w:val="28"/>
        </w:rPr>
      </w:pPr>
      <w:r w:rsidRPr="00DF7399">
        <w:rPr>
          <w:b/>
          <w:noProof/>
          <w:sz w:val="28"/>
          <w:szCs w:val="28"/>
          <w:lang w:eastAsia="en-GB"/>
        </w:rPr>
        <mc:AlternateContent>
          <mc:Choice Requires="wps">
            <w:drawing>
              <wp:anchor distT="0" distB="0" distL="114300" distR="114300" simplePos="0" relativeHeight="251658240" behindDoc="0" locked="0" layoutInCell="1" allowOverlap="1" wp14:anchorId="558B7CCC" wp14:editId="0BFAD1E2">
                <wp:simplePos x="0" y="0"/>
                <wp:positionH relativeFrom="margin">
                  <wp:align>right</wp:align>
                </wp:positionH>
                <wp:positionV relativeFrom="paragraph">
                  <wp:posOffset>144989</wp:posOffset>
                </wp:positionV>
                <wp:extent cx="1459230" cy="819150"/>
                <wp:effectExtent l="0" t="0" r="266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819150"/>
                        </a:xfrm>
                        <a:prstGeom prst="rect">
                          <a:avLst/>
                        </a:prstGeom>
                        <a:solidFill>
                          <a:srgbClr val="FFFFFF"/>
                        </a:solidFill>
                        <a:ln w="9525">
                          <a:solidFill>
                            <a:srgbClr val="000000"/>
                          </a:solidFill>
                          <a:miter lim="800000"/>
                          <a:headEnd/>
                          <a:tailEnd/>
                        </a:ln>
                      </wps:spPr>
                      <wps:txbx>
                        <w:txbxContent>
                          <w:p w14:paraId="558B7CD7" w14:textId="77777777" w:rsidR="00DF7399" w:rsidRPr="00DF7399" w:rsidRDefault="00DF7399" w:rsidP="00DF7399">
                            <w:pPr>
                              <w:ind w:left="720"/>
                            </w:pPr>
                            <w:r>
                              <w:t>Samantha Wilkinson</w:t>
                            </w:r>
                          </w:p>
                          <w:p w14:paraId="558B7CD8" w14:textId="77777777" w:rsidR="00DF7399" w:rsidRDefault="00DF7399" w:rsidP="00DF7399">
                            <w:pPr>
                              <w:ind w:left="720"/>
                            </w:pPr>
                            <w:r w:rsidRPr="00DF7399">
                              <w:t xml:space="preserve">Police and Crime </w:t>
                            </w:r>
                            <w:r>
                              <w:t xml:space="preserve"> </w:t>
                            </w:r>
                          </w:p>
                          <w:p w14:paraId="558B7CD9" w14:textId="77777777" w:rsidR="00DF7399" w:rsidRPr="00DF7399" w:rsidRDefault="00DF7399" w:rsidP="00DF7399">
                            <w:pPr>
                              <w:ind w:left="720"/>
                            </w:pPr>
                            <w:r w:rsidRPr="00DF7399">
                              <w:t>Panel</w:t>
                            </w:r>
                            <w:r>
                              <w:t xml:space="preserve"> </w:t>
                            </w:r>
                            <w:r w:rsidRPr="00DF7399">
                              <w:t>Officer</w:t>
                            </w:r>
                          </w:p>
                          <w:p w14:paraId="558B7CDA" w14:textId="77777777" w:rsidR="00DF7399" w:rsidRPr="00DF7399" w:rsidRDefault="00412F11" w:rsidP="00DF7399">
                            <w:pPr>
                              <w:ind w:left="720"/>
                            </w:pPr>
                            <w:r>
                              <w:t>07920 833358</w:t>
                            </w:r>
                          </w:p>
                          <w:p w14:paraId="558B7CDB" w14:textId="77777777" w:rsidR="00DF7399" w:rsidRDefault="00DF73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B7CCC" id="_x0000_s1027" type="#_x0000_t202" style="position:absolute;left:0;text-align:left;margin-left:63.7pt;margin-top:11.4pt;width:114.9pt;height:6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">
                <v:textbox>
                  <w:txbxContent>
                    <w:p w14:paraId="558B7CD7" w14:textId="77777777" w:rsidR="00DF7399" w:rsidRPr="00DF7399" w:rsidRDefault="00DF7399" w:rsidP="00DF7399">
                      <w:pPr>
                        <w:ind w:left="720"/>
                      </w:pPr>
                      <w:r>
                        <w:t>Samantha Wilkinson</w:t>
                      </w:r>
                    </w:p>
                    <w:p w14:paraId="558B7CD8" w14:textId="77777777" w:rsidR="00DF7399" w:rsidRDefault="00DF7399" w:rsidP="00DF7399">
                      <w:pPr>
                        <w:ind w:left="720"/>
                      </w:pPr>
                      <w:r w:rsidRPr="00DF7399">
                        <w:t xml:space="preserve">Police and Crime </w:t>
                      </w:r>
                      <w:r>
                        <w:t xml:space="preserve"> </w:t>
                      </w:r>
                    </w:p>
                    <w:p w14:paraId="558B7CD9" w14:textId="77777777" w:rsidR="00DF7399" w:rsidRPr="00DF7399" w:rsidRDefault="00DF7399" w:rsidP="00DF7399">
                      <w:pPr>
                        <w:ind w:left="720"/>
                      </w:pPr>
                      <w:r w:rsidRPr="00DF7399">
                        <w:t>Panel</w:t>
                      </w:r>
                      <w:r>
                        <w:t xml:space="preserve"> </w:t>
                      </w:r>
                      <w:r w:rsidRPr="00DF7399">
                        <w:t>Officer</w:t>
                      </w:r>
                    </w:p>
                    <w:p w14:paraId="558B7CDA" w14:textId="77777777" w:rsidR="00DF7399" w:rsidRPr="00DF7399" w:rsidRDefault="00412F11" w:rsidP="00DF7399">
                      <w:pPr>
                        <w:ind w:left="720"/>
                      </w:pPr>
                      <w:r>
                        <w:t>07920 833358</w:t>
                      </w:r>
                    </w:p>
                    <w:p w14:paraId="558B7CDB" w14:textId="77777777" w:rsidR="00DF7399" w:rsidRDefault="00DF7399"/>
                  </w:txbxContent>
                </v:textbox>
                <w10:wrap anchorx="margin"/>
              </v:shape>
            </w:pict>
          </mc:Fallback>
        </mc:AlternateContent>
      </w:r>
      <w:r>
        <w:rPr>
          <w:b/>
          <w:sz w:val="28"/>
          <w:szCs w:val="28"/>
        </w:rPr>
        <w:t xml:space="preserve">Friday </w:t>
      </w:r>
      <w:r w:rsidR="00626D71">
        <w:rPr>
          <w:b/>
          <w:sz w:val="28"/>
          <w:szCs w:val="28"/>
        </w:rPr>
        <w:t>15</w:t>
      </w:r>
      <w:r w:rsidR="00626D71" w:rsidRPr="00626D71">
        <w:rPr>
          <w:b/>
          <w:sz w:val="28"/>
          <w:szCs w:val="28"/>
          <w:vertAlign w:val="superscript"/>
        </w:rPr>
        <w:t>th</w:t>
      </w:r>
      <w:r w:rsidR="00626D71">
        <w:rPr>
          <w:b/>
          <w:sz w:val="28"/>
          <w:szCs w:val="28"/>
        </w:rPr>
        <w:t xml:space="preserve"> June 2018</w:t>
      </w:r>
      <w:r>
        <w:rPr>
          <w:b/>
          <w:sz w:val="28"/>
          <w:szCs w:val="28"/>
        </w:rPr>
        <w:tab/>
      </w:r>
      <w:r>
        <w:rPr>
          <w:b/>
          <w:sz w:val="28"/>
          <w:szCs w:val="28"/>
        </w:rPr>
        <w:tab/>
      </w:r>
      <w:r>
        <w:rPr>
          <w:b/>
          <w:sz w:val="28"/>
          <w:szCs w:val="28"/>
        </w:rPr>
        <w:tab/>
      </w:r>
    </w:p>
    <w:p w14:paraId="558B7C00" w14:textId="77777777" w:rsidR="00DF7399" w:rsidRPr="00401798" w:rsidRDefault="00DF7399" w:rsidP="00DF7399">
      <w:pPr>
        <w:rPr>
          <w:b/>
          <w:sz w:val="20"/>
        </w:rPr>
      </w:pPr>
    </w:p>
    <w:p w14:paraId="558B7C01" w14:textId="108AA711" w:rsidR="00DF7399" w:rsidRDefault="00DF7399" w:rsidP="00DF7399">
      <w:pPr>
        <w:rPr>
          <w:b/>
          <w:sz w:val="28"/>
          <w:szCs w:val="28"/>
        </w:rPr>
      </w:pPr>
      <w:r>
        <w:rPr>
          <w:b/>
          <w:sz w:val="28"/>
          <w:szCs w:val="28"/>
        </w:rPr>
        <w:t xml:space="preserve">Panel Budget </w:t>
      </w:r>
      <w:r w:rsidR="00F1749C">
        <w:rPr>
          <w:b/>
          <w:sz w:val="28"/>
          <w:szCs w:val="28"/>
        </w:rPr>
        <w:t xml:space="preserve">Outcome </w:t>
      </w:r>
      <w:r>
        <w:rPr>
          <w:b/>
          <w:sz w:val="28"/>
          <w:szCs w:val="28"/>
        </w:rPr>
        <w:t>201</w:t>
      </w:r>
      <w:r w:rsidR="00626D71">
        <w:rPr>
          <w:b/>
          <w:sz w:val="28"/>
          <w:szCs w:val="28"/>
        </w:rPr>
        <w:t>7</w:t>
      </w:r>
      <w:r>
        <w:rPr>
          <w:b/>
          <w:sz w:val="28"/>
          <w:szCs w:val="28"/>
        </w:rPr>
        <w:t>/1</w:t>
      </w:r>
      <w:r w:rsidR="00626D71">
        <w:rPr>
          <w:b/>
          <w:sz w:val="28"/>
          <w:szCs w:val="28"/>
        </w:rPr>
        <w:t>8</w:t>
      </w:r>
      <w:r w:rsidR="00F1749C">
        <w:rPr>
          <w:b/>
          <w:sz w:val="28"/>
          <w:szCs w:val="28"/>
        </w:rPr>
        <w:t xml:space="preserve"> and</w:t>
      </w:r>
    </w:p>
    <w:p w14:paraId="558B7C02" w14:textId="6C59B594" w:rsidR="00F1749C" w:rsidRDefault="00F1749C" w:rsidP="00DF7399">
      <w:pPr>
        <w:rPr>
          <w:b/>
          <w:sz w:val="28"/>
          <w:szCs w:val="28"/>
        </w:rPr>
      </w:pPr>
      <w:r>
        <w:rPr>
          <w:b/>
          <w:sz w:val="28"/>
          <w:szCs w:val="28"/>
        </w:rPr>
        <w:t>Draft 201</w:t>
      </w:r>
      <w:r w:rsidR="00626D71">
        <w:rPr>
          <w:b/>
          <w:sz w:val="28"/>
          <w:szCs w:val="28"/>
        </w:rPr>
        <w:t>8</w:t>
      </w:r>
      <w:r>
        <w:rPr>
          <w:b/>
          <w:sz w:val="28"/>
          <w:szCs w:val="28"/>
        </w:rPr>
        <w:t>/1</w:t>
      </w:r>
      <w:r w:rsidR="00626D71">
        <w:rPr>
          <w:b/>
          <w:sz w:val="28"/>
          <w:szCs w:val="28"/>
        </w:rPr>
        <w:t>9</w:t>
      </w:r>
      <w:r>
        <w:rPr>
          <w:b/>
          <w:sz w:val="28"/>
          <w:szCs w:val="28"/>
        </w:rPr>
        <w:t xml:space="preserve"> Budget</w:t>
      </w:r>
    </w:p>
    <w:p w14:paraId="558B7C03" w14:textId="77777777" w:rsidR="006B49CF" w:rsidRDefault="006B49CF" w:rsidP="00CE594E">
      <w:pPr>
        <w:rPr>
          <w:b/>
        </w:rPr>
      </w:pPr>
    </w:p>
    <w:p w14:paraId="558B7C04" w14:textId="77777777" w:rsidR="00CE594E" w:rsidRDefault="00CE594E" w:rsidP="00CE594E">
      <w:pPr>
        <w:rPr>
          <w:b/>
        </w:rPr>
      </w:pPr>
    </w:p>
    <w:p w14:paraId="558B7C05" w14:textId="77777777" w:rsidR="00CE594E" w:rsidRDefault="00CE594E" w:rsidP="00DF7399">
      <w:pPr>
        <w:ind w:left="0" w:firstLine="0"/>
        <w:rPr>
          <w:b/>
        </w:rPr>
      </w:pPr>
    </w:p>
    <w:p w14:paraId="558B7C06" w14:textId="77777777" w:rsidR="00CE594E" w:rsidRPr="00CE594E" w:rsidRDefault="00CE594E" w:rsidP="00CE594E"/>
    <w:p w14:paraId="558B7C07" w14:textId="77777777" w:rsidR="00CE594E" w:rsidRPr="003E1810" w:rsidRDefault="00CE594E" w:rsidP="00893C26">
      <w:pPr>
        <w:ind w:left="709" w:hanging="709"/>
        <w:rPr>
          <w:b/>
          <w:sz w:val="24"/>
          <w:szCs w:val="24"/>
        </w:rPr>
      </w:pPr>
      <w:r w:rsidRPr="003E1810">
        <w:rPr>
          <w:b/>
          <w:sz w:val="24"/>
          <w:szCs w:val="24"/>
        </w:rPr>
        <w:t>1.</w:t>
      </w:r>
      <w:r w:rsidRPr="003E1810">
        <w:rPr>
          <w:b/>
          <w:sz w:val="24"/>
          <w:szCs w:val="24"/>
        </w:rPr>
        <w:tab/>
        <w:t>Purpose</w:t>
      </w:r>
    </w:p>
    <w:p w14:paraId="558B7C08" w14:textId="77777777" w:rsidR="00CE594E" w:rsidRPr="003E1810" w:rsidRDefault="00CE594E" w:rsidP="00CE594E">
      <w:pPr>
        <w:rPr>
          <w:b/>
          <w:sz w:val="24"/>
          <w:szCs w:val="24"/>
        </w:rPr>
      </w:pPr>
    </w:p>
    <w:p w14:paraId="558B7C09" w14:textId="77777777" w:rsidR="00CE594E" w:rsidRPr="003E1810" w:rsidRDefault="00CE594E" w:rsidP="00CE594E">
      <w:pPr>
        <w:pStyle w:val="ListParagraph"/>
        <w:numPr>
          <w:ilvl w:val="1"/>
          <w:numId w:val="4"/>
        </w:numPr>
        <w:rPr>
          <w:sz w:val="24"/>
          <w:szCs w:val="24"/>
        </w:rPr>
      </w:pPr>
      <w:r w:rsidRPr="003E1810">
        <w:rPr>
          <w:sz w:val="24"/>
          <w:szCs w:val="24"/>
        </w:rPr>
        <w:t xml:space="preserve">The purpose of this report is to </w:t>
      </w:r>
    </w:p>
    <w:p w14:paraId="558B7C0A" w14:textId="77777777" w:rsidR="00CE594E" w:rsidRPr="003E1810" w:rsidRDefault="00CE594E" w:rsidP="00CE594E">
      <w:pPr>
        <w:pStyle w:val="ListParagraph"/>
        <w:rPr>
          <w:sz w:val="24"/>
          <w:szCs w:val="24"/>
        </w:rPr>
      </w:pPr>
    </w:p>
    <w:p w14:paraId="558B7C0B" w14:textId="66226C71" w:rsidR="00893C26" w:rsidRPr="00132B53" w:rsidRDefault="00CE594E" w:rsidP="00132B53">
      <w:pPr>
        <w:pStyle w:val="ListParagraph"/>
        <w:numPr>
          <w:ilvl w:val="0"/>
          <w:numId w:val="5"/>
        </w:numPr>
        <w:rPr>
          <w:sz w:val="24"/>
          <w:szCs w:val="24"/>
        </w:rPr>
      </w:pPr>
      <w:r w:rsidRPr="00132B53">
        <w:rPr>
          <w:sz w:val="24"/>
          <w:szCs w:val="24"/>
        </w:rPr>
        <w:t xml:space="preserve">Inform the Panel of the funding </w:t>
      </w:r>
      <w:r w:rsidR="00513742">
        <w:rPr>
          <w:sz w:val="24"/>
          <w:szCs w:val="24"/>
        </w:rPr>
        <w:t>outcome for 201</w:t>
      </w:r>
      <w:r w:rsidR="005F4111">
        <w:rPr>
          <w:sz w:val="24"/>
          <w:szCs w:val="24"/>
        </w:rPr>
        <w:t>7</w:t>
      </w:r>
      <w:r w:rsidRPr="00132B53">
        <w:rPr>
          <w:sz w:val="24"/>
          <w:szCs w:val="24"/>
        </w:rPr>
        <w:t>/</w:t>
      </w:r>
      <w:r w:rsidR="00412F11">
        <w:rPr>
          <w:sz w:val="24"/>
          <w:szCs w:val="24"/>
        </w:rPr>
        <w:t>1</w:t>
      </w:r>
      <w:r w:rsidR="005F4111">
        <w:rPr>
          <w:sz w:val="24"/>
          <w:szCs w:val="24"/>
        </w:rPr>
        <w:t>8</w:t>
      </w:r>
      <w:r w:rsidRPr="00132B53">
        <w:rPr>
          <w:sz w:val="24"/>
          <w:szCs w:val="24"/>
        </w:rPr>
        <w:t xml:space="preserve"> and </w:t>
      </w:r>
      <w:r w:rsidR="00513742">
        <w:rPr>
          <w:sz w:val="24"/>
          <w:szCs w:val="24"/>
        </w:rPr>
        <w:t xml:space="preserve">the draft budget for the </w:t>
      </w:r>
      <w:r w:rsidR="003E1810" w:rsidRPr="00132B53">
        <w:rPr>
          <w:sz w:val="24"/>
          <w:szCs w:val="24"/>
        </w:rPr>
        <w:t>Panel</w:t>
      </w:r>
      <w:r w:rsidR="008453F0" w:rsidRPr="00132B53">
        <w:rPr>
          <w:sz w:val="24"/>
          <w:szCs w:val="24"/>
        </w:rPr>
        <w:t xml:space="preserve"> </w:t>
      </w:r>
      <w:r w:rsidR="00513742">
        <w:rPr>
          <w:sz w:val="24"/>
          <w:szCs w:val="24"/>
        </w:rPr>
        <w:t xml:space="preserve">going forward into </w:t>
      </w:r>
      <w:r w:rsidR="008453F0" w:rsidRPr="00132B53">
        <w:rPr>
          <w:sz w:val="24"/>
          <w:szCs w:val="24"/>
        </w:rPr>
        <w:t>201</w:t>
      </w:r>
      <w:r w:rsidR="005F4111">
        <w:rPr>
          <w:sz w:val="24"/>
          <w:szCs w:val="24"/>
        </w:rPr>
        <w:t>8</w:t>
      </w:r>
      <w:r w:rsidR="00D46590">
        <w:rPr>
          <w:sz w:val="24"/>
          <w:szCs w:val="24"/>
        </w:rPr>
        <w:t>/1</w:t>
      </w:r>
      <w:r w:rsidR="005F4111">
        <w:rPr>
          <w:sz w:val="24"/>
          <w:szCs w:val="24"/>
        </w:rPr>
        <w:t>9</w:t>
      </w:r>
      <w:r w:rsidR="00513742">
        <w:rPr>
          <w:sz w:val="24"/>
          <w:szCs w:val="24"/>
        </w:rPr>
        <w:t>.</w:t>
      </w:r>
    </w:p>
    <w:p w14:paraId="558B7C0C" w14:textId="77777777" w:rsidR="00EE04BF" w:rsidRDefault="00EE04BF" w:rsidP="006B49CF">
      <w:pPr>
        <w:ind w:left="0" w:firstLine="0"/>
        <w:rPr>
          <w:b/>
          <w:sz w:val="24"/>
          <w:szCs w:val="24"/>
        </w:rPr>
      </w:pPr>
    </w:p>
    <w:p w14:paraId="558B7C0D" w14:textId="77777777" w:rsidR="00B01615" w:rsidRPr="003E1810" w:rsidRDefault="00CE594E" w:rsidP="00893C26">
      <w:pPr>
        <w:ind w:left="709"/>
        <w:rPr>
          <w:b/>
          <w:sz w:val="24"/>
          <w:szCs w:val="24"/>
        </w:rPr>
      </w:pPr>
      <w:r w:rsidRPr="003E1810">
        <w:rPr>
          <w:b/>
          <w:sz w:val="24"/>
          <w:szCs w:val="24"/>
        </w:rPr>
        <w:t>2.</w:t>
      </w:r>
      <w:r w:rsidRPr="003E1810">
        <w:rPr>
          <w:b/>
          <w:sz w:val="24"/>
          <w:szCs w:val="24"/>
        </w:rPr>
        <w:tab/>
      </w:r>
      <w:r w:rsidR="00B01615" w:rsidRPr="003E1810">
        <w:rPr>
          <w:b/>
          <w:sz w:val="24"/>
          <w:szCs w:val="24"/>
        </w:rPr>
        <w:tab/>
      </w:r>
      <w:r w:rsidR="0009268D" w:rsidRPr="003E1810">
        <w:rPr>
          <w:b/>
          <w:sz w:val="24"/>
          <w:szCs w:val="24"/>
        </w:rPr>
        <w:t xml:space="preserve">Home Office </w:t>
      </w:r>
      <w:r w:rsidR="00B01615" w:rsidRPr="003E1810">
        <w:rPr>
          <w:b/>
          <w:sz w:val="24"/>
          <w:szCs w:val="24"/>
        </w:rPr>
        <w:t>Support</w:t>
      </w:r>
    </w:p>
    <w:p w14:paraId="558B7C0E" w14:textId="77777777" w:rsidR="00CE594E" w:rsidRPr="003E1810" w:rsidRDefault="00CE594E" w:rsidP="00CE594E">
      <w:pPr>
        <w:rPr>
          <w:b/>
          <w:sz w:val="24"/>
          <w:szCs w:val="24"/>
        </w:rPr>
      </w:pPr>
    </w:p>
    <w:p w14:paraId="558B7C0F" w14:textId="07EFB401" w:rsidR="006B20BE" w:rsidRPr="003E1810" w:rsidRDefault="00CE594E" w:rsidP="002F1EF0">
      <w:pPr>
        <w:ind w:left="720"/>
        <w:rPr>
          <w:rFonts w:cstheme="minorHAnsi"/>
          <w:sz w:val="24"/>
          <w:szCs w:val="24"/>
        </w:rPr>
      </w:pPr>
      <w:r w:rsidRPr="003E1810">
        <w:rPr>
          <w:sz w:val="24"/>
          <w:szCs w:val="24"/>
        </w:rPr>
        <w:t>2.1</w:t>
      </w:r>
      <w:r w:rsidR="00870D2C" w:rsidRPr="003E1810">
        <w:rPr>
          <w:sz w:val="24"/>
          <w:szCs w:val="24"/>
        </w:rPr>
        <w:tab/>
      </w:r>
      <w:r w:rsidR="006B20BE" w:rsidRPr="003E1810">
        <w:rPr>
          <w:sz w:val="24"/>
          <w:szCs w:val="24"/>
        </w:rPr>
        <w:t>The</w:t>
      </w:r>
      <w:r w:rsidR="00AA47BC">
        <w:rPr>
          <w:sz w:val="24"/>
          <w:szCs w:val="24"/>
        </w:rPr>
        <w:t xml:space="preserve"> Government committed to providing</w:t>
      </w:r>
      <w:r w:rsidR="006B20BE" w:rsidRPr="003E1810">
        <w:rPr>
          <w:sz w:val="24"/>
          <w:szCs w:val="24"/>
        </w:rPr>
        <w:t xml:space="preserve"> </w:t>
      </w:r>
      <w:r w:rsidR="00870D2C" w:rsidRPr="003E1810">
        <w:rPr>
          <w:sz w:val="24"/>
          <w:szCs w:val="24"/>
        </w:rPr>
        <w:t xml:space="preserve">limited </w:t>
      </w:r>
      <w:r w:rsidR="006B20BE" w:rsidRPr="003E1810">
        <w:rPr>
          <w:sz w:val="24"/>
          <w:szCs w:val="24"/>
        </w:rPr>
        <w:t>funding to cover the costs of maintaining Police and Crime Panels. The host authority for a Police and Crime Panel in a police force area</w:t>
      </w:r>
      <w:r w:rsidR="001E227D">
        <w:rPr>
          <w:sz w:val="24"/>
          <w:szCs w:val="24"/>
        </w:rPr>
        <w:t xml:space="preserve"> can </w:t>
      </w:r>
      <w:r w:rsidR="002F1EF0" w:rsidRPr="003E1810">
        <w:rPr>
          <w:sz w:val="24"/>
          <w:szCs w:val="24"/>
        </w:rPr>
        <w:t xml:space="preserve">receive </w:t>
      </w:r>
      <w:r w:rsidR="001E227D">
        <w:rPr>
          <w:sz w:val="24"/>
          <w:szCs w:val="24"/>
        </w:rPr>
        <w:t xml:space="preserve">annually up to </w:t>
      </w:r>
      <w:r w:rsidR="007311B2" w:rsidRPr="003E1810">
        <w:rPr>
          <w:rFonts w:cstheme="minorHAnsi"/>
          <w:sz w:val="24"/>
          <w:szCs w:val="24"/>
        </w:rPr>
        <w:t>£</w:t>
      </w:r>
      <w:r w:rsidR="007311B2">
        <w:rPr>
          <w:rFonts w:cstheme="minorHAnsi"/>
          <w:sz w:val="24"/>
          <w:szCs w:val="24"/>
        </w:rPr>
        <w:t>66,180</w:t>
      </w:r>
      <w:r w:rsidR="006B20BE" w:rsidRPr="003E1810">
        <w:rPr>
          <w:rFonts w:cstheme="minorHAnsi"/>
          <w:sz w:val="24"/>
          <w:szCs w:val="24"/>
        </w:rPr>
        <w:t xml:space="preserve"> for </w:t>
      </w:r>
      <w:r w:rsidR="007311B2">
        <w:rPr>
          <w:rFonts w:cstheme="minorHAnsi"/>
          <w:sz w:val="24"/>
          <w:szCs w:val="24"/>
        </w:rPr>
        <w:t xml:space="preserve">the costs of administering Panels.  </w:t>
      </w:r>
      <w:r w:rsidR="001E227D">
        <w:rPr>
          <w:rFonts w:cstheme="minorHAnsi"/>
          <w:sz w:val="24"/>
          <w:szCs w:val="24"/>
        </w:rPr>
        <w:t xml:space="preserve">There has been no commitment at this stage for funding for 2018/19, however, neither has there been any indication that this is not the case.  The working assumption is that </w:t>
      </w:r>
      <w:r w:rsidR="00741A88">
        <w:rPr>
          <w:rFonts w:cstheme="minorHAnsi"/>
          <w:sz w:val="24"/>
          <w:szCs w:val="24"/>
        </w:rPr>
        <w:t>P</w:t>
      </w:r>
      <w:r w:rsidR="001E227D">
        <w:rPr>
          <w:rFonts w:cstheme="minorHAnsi"/>
          <w:sz w:val="24"/>
          <w:szCs w:val="24"/>
        </w:rPr>
        <w:t xml:space="preserve">CP Grant will continue </w:t>
      </w:r>
      <w:r w:rsidR="007311B2">
        <w:rPr>
          <w:rFonts w:cstheme="minorHAnsi"/>
          <w:sz w:val="24"/>
          <w:szCs w:val="24"/>
        </w:rPr>
        <w:t xml:space="preserve">to be supported by the Home Office </w:t>
      </w:r>
      <w:r w:rsidR="001E227D">
        <w:rPr>
          <w:rFonts w:cstheme="minorHAnsi"/>
          <w:sz w:val="24"/>
          <w:szCs w:val="24"/>
        </w:rPr>
        <w:t xml:space="preserve">at the same level in 2018/19.  </w:t>
      </w:r>
    </w:p>
    <w:p w14:paraId="558B7C10" w14:textId="77777777" w:rsidR="00E61819" w:rsidRDefault="00E61819" w:rsidP="00E61819">
      <w:pPr>
        <w:pStyle w:val="Default"/>
        <w:ind w:left="720"/>
        <w:rPr>
          <w:rFonts w:asciiTheme="minorHAnsi" w:hAnsiTheme="minorHAnsi" w:cstheme="minorHAnsi"/>
        </w:rPr>
      </w:pPr>
    </w:p>
    <w:p w14:paraId="558B7C11" w14:textId="45D2C457" w:rsidR="00EE04BF" w:rsidRDefault="00E61819" w:rsidP="00E61819">
      <w:pPr>
        <w:pStyle w:val="Default"/>
        <w:ind w:left="720"/>
        <w:rPr>
          <w:rFonts w:asciiTheme="minorHAnsi" w:hAnsiTheme="minorHAnsi" w:cstheme="minorHAnsi"/>
        </w:rPr>
      </w:pPr>
      <w:r>
        <w:rPr>
          <w:rFonts w:asciiTheme="minorHAnsi" w:hAnsiTheme="minorHAnsi" w:cstheme="minorHAnsi"/>
        </w:rPr>
        <w:t>2.</w:t>
      </w:r>
      <w:r w:rsidR="00D46590">
        <w:rPr>
          <w:rFonts w:asciiTheme="minorHAnsi" w:hAnsiTheme="minorHAnsi" w:cstheme="minorHAnsi"/>
        </w:rPr>
        <w:t>2</w:t>
      </w:r>
      <w:r>
        <w:rPr>
          <w:rFonts w:asciiTheme="minorHAnsi" w:hAnsiTheme="minorHAnsi" w:cstheme="minorHAnsi"/>
        </w:rPr>
        <w:tab/>
        <w:t>Home Office f</w:t>
      </w:r>
      <w:r w:rsidR="00513742">
        <w:rPr>
          <w:rFonts w:asciiTheme="minorHAnsi" w:hAnsiTheme="minorHAnsi" w:cstheme="minorHAnsi"/>
        </w:rPr>
        <w:t xml:space="preserve">unding </w:t>
      </w:r>
      <w:r>
        <w:rPr>
          <w:rFonts w:asciiTheme="minorHAnsi" w:hAnsiTheme="minorHAnsi" w:cstheme="minorHAnsi"/>
        </w:rPr>
        <w:t xml:space="preserve">is </w:t>
      </w:r>
      <w:r w:rsidR="00513742">
        <w:rPr>
          <w:rFonts w:asciiTheme="minorHAnsi" w:hAnsiTheme="minorHAnsi" w:cstheme="minorHAnsi"/>
        </w:rPr>
        <w:t xml:space="preserve">provided </w:t>
      </w:r>
      <w:r>
        <w:rPr>
          <w:rFonts w:asciiTheme="minorHAnsi" w:hAnsiTheme="minorHAnsi" w:cstheme="minorHAnsi"/>
        </w:rPr>
        <w:t xml:space="preserve">via a grant agreement which is </w:t>
      </w:r>
      <w:r w:rsidR="006B20BE" w:rsidRPr="003E1810">
        <w:rPr>
          <w:rFonts w:asciiTheme="minorHAnsi" w:hAnsiTheme="minorHAnsi" w:cstheme="minorHAnsi"/>
        </w:rPr>
        <w:t xml:space="preserve">paid in arrears </w:t>
      </w:r>
      <w:r>
        <w:rPr>
          <w:rFonts w:asciiTheme="minorHAnsi" w:hAnsiTheme="minorHAnsi" w:cstheme="minorHAnsi"/>
        </w:rPr>
        <w:t xml:space="preserve">to </w:t>
      </w:r>
      <w:r w:rsidR="0032351F">
        <w:rPr>
          <w:rFonts w:asciiTheme="minorHAnsi" w:hAnsiTheme="minorHAnsi" w:cstheme="minorHAnsi"/>
        </w:rPr>
        <w:t xml:space="preserve">Wakefield as </w:t>
      </w:r>
      <w:r>
        <w:rPr>
          <w:rFonts w:asciiTheme="minorHAnsi" w:hAnsiTheme="minorHAnsi" w:cstheme="minorHAnsi"/>
        </w:rPr>
        <w:t xml:space="preserve">the </w:t>
      </w:r>
      <w:r w:rsidR="00870D2C" w:rsidRPr="003E1810">
        <w:rPr>
          <w:rFonts w:asciiTheme="minorHAnsi" w:hAnsiTheme="minorHAnsi" w:cstheme="minorHAnsi"/>
        </w:rPr>
        <w:t>host authorit</w:t>
      </w:r>
      <w:r w:rsidR="001E227D">
        <w:rPr>
          <w:rFonts w:asciiTheme="minorHAnsi" w:hAnsiTheme="minorHAnsi" w:cstheme="minorHAnsi"/>
        </w:rPr>
        <w:t>y and claimed in two half yearly submissions.</w:t>
      </w:r>
      <w:r w:rsidR="00741A88">
        <w:rPr>
          <w:rFonts w:asciiTheme="minorHAnsi" w:hAnsiTheme="minorHAnsi" w:cstheme="minorHAnsi"/>
        </w:rPr>
        <w:t xml:space="preserve">  </w:t>
      </w:r>
    </w:p>
    <w:p w14:paraId="558B7C12" w14:textId="77777777" w:rsidR="00EE04BF" w:rsidRDefault="00EE04BF" w:rsidP="00E61819">
      <w:pPr>
        <w:pStyle w:val="Default"/>
        <w:ind w:left="720"/>
        <w:rPr>
          <w:rFonts w:asciiTheme="minorHAnsi" w:hAnsiTheme="minorHAnsi" w:cstheme="minorHAnsi"/>
        </w:rPr>
      </w:pPr>
    </w:p>
    <w:p w14:paraId="558B7C13" w14:textId="6DD88917" w:rsidR="00167CCB" w:rsidRDefault="00EE04BF" w:rsidP="00E61819">
      <w:pPr>
        <w:pStyle w:val="Default"/>
        <w:ind w:left="720"/>
        <w:rPr>
          <w:rFonts w:asciiTheme="minorHAnsi" w:hAnsiTheme="minorHAnsi" w:cstheme="minorHAnsi"/>
        </w:rPr>
      </w:pPr>
      <w:r>
        <w:rPr>
          <w:rFonts w:asciiTheme="minorHAnsi" w:hAnsiTheme="minorHAnsi" w:cstheme="minorHAnsi"/>
        </w:rPr>
        <w:t>2.3</w:t>
      </w:r>
      <w:r>
        <w:rPr>
          <w:rFonts w:asciiTheme="minorHAnsi" w:hAnsiTheme="minorHAnsi" w:cstheme="minorHAnsi"/>
        </w:rPr>
        <w:tab/>
      </w:r>
      <w:r>
        <w:rPr>
          <w:rFonts w:ascii="Calibri" w:eastAsia="Times New Roman" w:hAnsi="Calibri" w:cs="Calibri"/>
          <w:lang w:eastAsia="en-GB"/>
        </w:rPr>
        <w:t>As part of the agreement to fund Police and Crime Panels, the Home Office have stipulated</w:t>
      </w:r>
      <w:r w:rsidR="007311B2">
        <w:rPr>
          <w:rFonts w:ascii="Calibri" w:eastAsia="Times New Roman" w:hAnsi="Calibri" w:cs="Calibri"/>
          <w:lang w:eastAsia="en-GB"/>
        </w:rPr>
        <w:t xml:space="preserve"> that </w:t>
      </w:r>
      <w:r>
        <w:rPr>
          <w:rFonts w:ascii="Calibri" w:eastAsia="Times New Roman" w:hAnsi="Calibri" w:cs="Calibri"/>
          <w:lang w:eastAsia="en-GB"/>
        </w:rPr>
        <w:t xml:space="preserve">transparency </w:t>
      </w:r>
      <w:r w:rsidR="007311B2">
        <w:rPr>
          <w:rFonts w:ascii="Calibri" w:eastAsia="Times New Roman" w:hAnsi="Calibri" w:cs="Calibri"/>
          <w:lang w:eastAsia="en-GB"/>
        </w:rPr>
        <w:t xml:space="preserve">is </w:t>
      </w:r>
      <w:r>
        <w:rPr>
          <w:rFonts w:ascii="Calibri" w:eastAsia="Times New Roman" w:hAnsi="Calibri" w:cs="Calibri"/>
          <w:lang w:eastAsia="en-GB"/>
        </w:rPr>
        <w:t>require</w:t>
      </w:r>
      <w:r w:rsidR="007311B2">
        <w:rPr>
          <w:rFonts w:ascii="Calibri" w:eastAsia="Times New Roman" w:hAnsi="Calibri" w:cs="Calibri"/>
          <w:lang w:eastAsia="en-GB"/>
        </w:rPr>
        <w:t>d</w:t>
      </w:r>
      <w:r>
        <w:rPr>
          <w:rFonts w:ascii="Calibri" w:eastAsia="Times New Roman" w:hAnsi="Calibri" w:cs="Calibri"/>
          <w:lang w:eastAsia="en-GB"/>
        </w:rPr>
        <w:t xml:space="preserve"> as a condition of the grant payment to allow public scrutiny of PCP spending.  </w:t>
      </w:r>
      <w:r w:rsidR="007311B2">
        <w:rPr>
          <w:rFonts w:ascii="Calibri" w:eastAsia="Times New Roman" w:hAnsi="Calibri" w:cs="Calibri"/>
          <w:lang w:eastAsia="en-GB"/>
        </w:rPr>
        <w:t xml:space="preserve">Police and Crime Panels are required </w:t>
      </w:r>
      <w:r w:rsidR="005F4111">
        <w:rPr>
          <w:rFonts w:ascii="Calibri" w:eastAsia="Times New Roman" w:hAnsi="Calibri" w:cs="Calibri"/>
          <w:lang w:eastAsia="en-GB"/>
        </w:rPr>
        <w:t>to publish details</w:t>
      </w:r>
      <w:r>
        <w:rPr>
          <w:rFonts w:ascii="Calibri" w:eastAsia="Times New Roman" w:hAnsi="Calibri" w:cs="Calibri"/>
          <w:lang w:eastAsia="en-GB"/>
        </w:rPr>
        <w:t xml:space="preserve"> of all their expenditure including all panel administration costs and individual panel member claims for expenses and allowances</w:t>
      </w:r>
      <w:r>
        <w:rPr>
          <w:rFonts w:asciiTheme="minorHAnsi" w:hAnsiTheme="minorHAnsi" w:cstheme="minorHAnsi"/>
        </w:rPr>
        <w:t>.</w:t>
      </w:r>
    </w:p>
    <w:p w14:paraId="558B7C14" w14:textId="77777777" w:rsidR="00EE04BF" w:rsidRDefault="00EE04BF" w:rsidP="00893C26">
      <w:pPr>
        <w:ind w:left="0" w:firstLine="0"/>
        <w:rPr>
          <w:rFonts w:cstheme="minorHAnsi"/>
          <w:b/>
          <w:sz w:val="24"/>
          <w:szCs w:val="24"/>
        </w:rPr>
      </w:pPr>
    </w:p>
    <w:p w14:paraId="558B7C15" w14:textId="77777777" w:rsidR="00B01615" w:rsidRPr="003E1810" w:rsidRDefault="00893C26" w:rsidP="00893C26">
      <w:pPr>
        <w:ind w:left="0" w:firstLine="0"/>
        <w:rPr>
          <w:rFonts w:cstheme="minorHAnsi"/>
          <w:b/>
          <w:sz w:val="24"/>
          <w:szCs w:val="24"/>
        </w:rPr>
      </w:pPr>
      <w:r w:rsidRPr="003E1810">
        <w:rPr>
          <w:rFonts w:cstheme="minorHAnsi"/>
          <w:b/>
          <w:sz w:val="24"/>
          <w:szCs w:val="24"/>
        </w:rPr>
        <w:t>3.</w:t>
      </w:r>
      <w:r w:rsidRPr="003E1810">
        <w:rPr>
          <w:rFonts w:cstheme="minorHAnsi"/>
          <w:sz w:val="24"/>
          <w:szCs w:val="24"/>
        </w:rPr>
        <w:tab/>
      </w:r>
      <w:r w:rsidR="00B01615" w:rsidRPr="003E1810">
        <w:rPr>
          <w:rFonts w:cstheme="minorHAnsi"/>
          <w:b/>
          <w:sz w:val="24"/>
          <w:szCs w:val="24"/>
        </w:rPr>
        <w:t xml:space="preserve">Local Authority Contributions </w:t>
      </w:r>
    </w:p>
    <w:p w14:paraId="558B7C16" w14:textId="77777777" w:rsidR="00870D2C" w:rsidRPr="003E1810" w:rsidRDefault="00870D2C" w:rsidP="00B01615">
      <w:pPr>
        <w:ind w:left="0" w:firstLine="720"/>
        <w:rPr>
          <w:rFonts w:cstheme="minorHAnsi"/>
          <w:b/>
          <w:sz w:val="24"/>
          <w:szCs w:val="24"/>
        </w:rPr>
      </w:pPr>
    </w:p>
    <w:p w14:paraId="558B7C17" w14:textId="1264A651" w:rsidR="00167CCB" w:rsidRPr="003E1810" w:rsidRDefault="00167CCB" w:rsidP="00167CCB">
      <w:pPr>
        <w:ind w:left="720"/>
        <w:rPr>
          <w:rFonts w:cstheme="minorHAnsi"/>
          <w:sz w:val="24"/>
          <w:szCs w:val="24"/>
        </w:rPr>
      </w:pPr>
      <w:r w:rsidRPr="003E1810">
        <w:rPr>
          <w:rFonts w:cstheme="minorHAnsi"/>
          <w:sz w:val="24"/>
          <w:szCs w:val="24"/>
        </w:rPr>
        <w:t>3.1</w:t>
      </w:r>
      <w:r w:rsidRPr="003E1810">
        <w:rPr>
          <w:rFonts w:cstheme="minorHAnsi"/>
          <w:sz w:val="24"/>
          <w:szCs w:val="24"/>
        </w:rPr>
        <w:tab/>
      </w:r>
      <w:r w:rsidR="00893C26" w:rsidRPr="003E1810">
        <w:rPr>
          <w:rFonts w:cstheme="minorHAnsi"/>
          <w:sz w:val="24"/>
          <w:szCs w:val="24"/>
        </w:rPr>
        <w:t xml:space="preserve">As part of the initial decision making around the </w:t>
      </w:r>
      <w:r w:rsidRPr="003E1810">
        <w:rPr>
          <w:rFonts w:cstheme="minorHAnsi"/>
          <w:sz w:val="24"/>
          <w:szCs w:val="24"/>
        </w:rPr>
        <w:t xml:space="preserve">establishment </w:t>
      </w:r>
      <w:r w:rsidR="00893C26" w:rsidRPr="003E1810">
        <w:rPr>
          <w:rFonts w:cstheme="minorHAnsi"/>
          <w:sz w:val="24"/>
          <w:szCs w:val="24"/>
        </w:rPr>
        <w:t xml:space="preserve">of </w:t>
      </w:r>
      <w:r w:rsidRPr="003E1810">
        <w:rPr>
          <w:rFonts w:cstheme="minorHAnsi"/>
          <w:sz w:val="24"/>
          <w:szCs w:val="24"/>
        </w:rPr>
        <w:t xml:space="preserve">a </w:t>
      </w:r>
      <w:r w:rsidR="00893C26" w:rsidRPr="003E1810">
        <w:rPr>
          <w:rFonts w:cstheme="minorHAnsi"/>
          <w:sz w:val="24"/>
          <w:szCs w:val="24"/>
        </w:rPr>
        <w:t>Police and Crime Panel for West Yorkshire,</w:t>
      </w:r>
      <w:r w:rsidR="007311B2">
        <w:rPr>
          <w:rFonts w:cstheme="minorHAnsi"/>
          <w:sz w:val="24"/>
          <w:szCs w:val="24"/>
        </w:rPr>
        <w:t xml:space="preserve"> back in 2012</w:t>
      </w:r>
      <w:r w:rsidR="00893C26" w:rsidRPr="003E1810">
        <w:rPr>
          <w:rFonts w:cstheme="minorHAnsi"/>
          <w:sz w:val="24"/>
          <w:szCs w:val="24"/>
        </w:rPr>
        <w:t xml:space="preserve"> the AWYA Council, comprising of the five West Yorkshire Leaders, considered the support and resources that the P</w:t>
      </w:r>
      <w:r w:rsidRPr="003E1810">
        <w:rPr>
          <w:rFonts w:cstheme="minorHAnsi"/>
          <w:sz w:val="24"/>
          <w:szCs w:val="24"/>
        </w:rPr>
        <w:t>anel</w:t>
      </w:r>
      <w:r w:rsidR="003E1810">
        <w:rPr>
          <w:rFonts w:cstheme="minorHAnsi"/>
          <w:sz w:val="24"/>
          <w:szCs w:val="24"/>
        </w:rPr>
        <w:t xml:space="preserve"> might require to </w:t>
      </w:r>
      <w:r w:rsidR="00893C26" w:rsidRPr="003E1810">
        <w:rPr>
          <w:rFonts w:cstheme="minorHAnsi"/>
          <w:sz w:val="24"/>
          <w:szCs w:val="24"/>
        </w:rPr>
        <w:t>carry out its responsibilities on behalf of the communities in West Yorkshire.</w:t>
      </w:r>
    </w:p>
    <w:p w14:paraId="558B7C18" w14:textId="77777777" w:rsidR="00167CCB" w:rsidRPr="003E1810" w:rsidRDefault="00167CCB" w:rsidP="00167CCB">
      <w:pPr>
        <w:ind w:left="720"/>
        <w:rPr>
          <w:rFonts w:cstheme="minorHAnsi"/>
          <w:sz w:val="24"/>
          <w:szCs w:val="24"/>
        </w:rPr>
      </w:pPr>
    </w:p>
    <w:p w14:paraId="558B7C19" w14:textId="77777777" w:rsidR="00167CCB" w:rsidRDefault="00167CCB" w:rsidP="00167CCB">
      <w:pPr>
        <w:ind w:left="720"/>
        <w:rPr>
          <w:rFonts w:cstheme="minorHAnsi"/>
          <w:sz w:val="24"/>
          <w:szCs w:val="24"/>
        </w:rPr>
      </w:pPr>
      <w:r w:rsidRPr="003E1810">
        <w:rPr>
          <w:rFonts w:cstheme="minorHAnsi"/>
          <w:sz w:val="24"/>
          <w:szCs w:val="24"/>
        </w:rPr>
        <w:lastRenderedPageBreak/>
        <w:t>3.2</w:t>
      </w:r>
      <w:r w:rsidRPr="003E1810">
        <w:rPr>
          <w:rFonts w:cstheme="minorHAnsi"/>
          <w:sz w:val="24"/>
          <w:szCs w:val="24"/>
        </w:rPr>
        <w:tab/>
        <w:t xml:space="preserve">It was agreed that staff would be required to provide the Panel with the necessary support around research, performance monitoring, complaints, communications, servicing and administration. </w:t>
      </w:r>
    </w:p>
    <w:p w14:paraId="558B7C1A" w14:textId="77777777" w:rsidR="00D46590" w:rsidRPr="003E1810" w:rsidRDefault="00D46590" w:rsidP="00167CCB">
      <w:pPr>
        <w:ind w:left="720"/>
        <w:rPr>
          <w:rFonts w:cstheme="minorHAnsi"/>
          <w:sz w:val="24"/>
          <w:szCs w:val="24"/>
        </w:rPr>
      </w:pPr>
    </w:p>
    <w:p w14:paraId="558B7C1B" w14:textId="77777777" w:rsidR="00B57C49" w:rsidRDefault="00167CCB" w:rsidP="006B49CF">
      <w:pPr>
        <w:ind w:left="720"/>
        <w:rPr>
          <w:rFonts w:cstheme="minorHAnsi"/>
          <w:sz w:val="24"/>
          <w:szCs w:val="24"/>
        </w:rPr>
      </w:pPr>
      <w:r w:rsidRPr="003E1810">
        <w:rPr>
          <w:rFonts w:cstheme="minorHAnsi"/>
          <w:sz w:val="24"/>
          <w:szCs w:val="24"/>
        </w:rPr>
        <w:t>3.3</w:t>
      </w:r>
      <w:r w:rsidRPr="003E1810">
        <w:rPr>
          <w:rFonts w:cstheme="minorHAnsi"/>
          <w:sz w:val="24"/>
          <w:szCs w:val="24"/>
        </w:rPr>
        <w:tab/>
      </w:r>
      <w:r w:rsidR="00B57C49">
        <w:rPr>
          <w:rFonts w:cstheme="minorHAnsi"/>
          <w:sz w:val="24"/>
          <w:szCs w:val="24"/>
        </w:rPr>
        <w:t>Initially, contributions from each authority were made in the first year to support</w:t>
      </w:r>
      <w:r w:rsidR="00C7042D">
        <w:rPr>
          <w:rFonts w:cstheme="minorHAnsi"/>
          <w:sz w:val="24"/>
          <w:szCs w:val="24"/>
        </w:rPr>
        <w:t xml:space="preserve"> the work of the Panel </w:t>
      </w:r>
      <w:r w:rsidR="00513742">
        <w:rPr>
          <w:rFonts w:cstheme="minorHAnsi"/>
          <w:sz w:val="24"/>
          <w:szCs w:val="24"/>
        </w:rPr>
        <w:t>in the first year</w:t>
      </w:r>
      <w:r w:rsidR="00B57C49">
        <w:rPr>
          <w:rFonts w:cstheme="minorHAnsi"/>
          <w:sz w:val="24"/>
          <w:szCs w:val="24"/>
        </w:rPr>
        <w:t>, however, once the level of support required was clearer and Home Office funding has continued to cover the cost of supporting the Panel, it was agreed to suspend local authority contributions</w:t>
      </w:r>
      <w:r w:rsidR="00183873">
        <w:rPr>
          <w:rFonts w:cstheme="minorHAnsi"/>
          <w:sz w:val="24"/>
          <w:szCs w:val="24"/>
        </w:rPr>
        <w:t>.</w:t>
      </w:r>
    </w:p>
    <w:p w14:paraId="558B7C1C" w14:textId="77777777" w:rsidR="00EE04BF" w:rsidRDefault="00EE04BF" w:rsidP="00167CCB">
      <w:pPr>
        <w:ind w:left="720"/>
        <w:rPr>
          <w:rFonts w:cstheme="minorHAnsi"/>
          <w:b/>
          <w:sz w:val="24"/>
          <w:szCs w:val="24"/>
        </w:rPr>
      </w:pPr>
    </w:p>
    <w:p w14:paraId="558B7C1D" w14:textId="77777777" w:rsidR="00151F4C" w:rsidRPr="003E1810" w:rsidRDefault="00151F4C" w:rsidP="00167CCB">
      <w:pPr>
        <w:ind w:left="720"/>
        <w:rPr>
          <w:rFonts w:cstheme="minorHAnsi"/>
          <w:b/>
          <w:sz w:val="24"/>
          <w:szCs w:val="24"/>
        </w:rPr>
      </w:pPr>
      <w:r w:rsidRPr="003E1810">
        <w:rPr>
          <w:rFonts w:cstheme="minorHAnsi"/>
          <w:b/>
          <w:sz w:val="24"/>
          <w:szCs w:val="24"/>
        </w:rPr>
        <w:t>4.</w:t>
      </w:r>
      <w:r w:rsidRPr="003E1810">
        <w:rPr>
          <w:rFonts w:cstheme="minorHAnsi"/>
          <w:b/>
          <w:sz w:val="24"/>
          <w:szCs w:val="24"/>
        </w:rPr>
        <w:tab/>
        <w:t>Panel Support</w:t>
      </w:r>
    </w:p>
    <w:p w14:paraId="558B7C1E" w14:textId="77777777" w:rsidR="00151F4C" w:rsidRPr="003E1810" w:rsidRDefault="00151F4C" w:rsidP="00B01615">
      <w:pPr>
        <w:ind w:left="720"/>
        <w:rPr>
          <w:rFonts w:cstheme="minorHAnsi"/>
          <w:sz w:val="24"/>
          <w:szCs w:val="24"/>
        </w:rPr>
      </w:pPr>
    </w:p>
    <w:p w14:paraId="558B7C1F" w14:textId="24916BDF" w:rsidR="0032351F" w:rsidRDefault="00151F4C" w:rsidP="00B57C49">
      <w:pPr>
        <w:ind w:left="720"/>
        <w:rPr>
          <w:rFonts w:cstheme="minorHAnsi"/>
          <w:sz w:val="24"/>
          <w:szCs w:val="24"/>
        </w:rPr>
      </w:pPr>
      <w:r w:rsidRPr="003E1810">
        <w:rPr>
          <w:rFonts w:cstheme="minorHAnsi"/>
          <w:sz w:val="24"/>
          <w:szCs w:val="24"/>
        </w:rPr>
        <w:t>4.1</w:t>
      </w:r>
      <w:r w:rsidR="00B01615" w:rsidRPr="003E1810">
        <w:rPr>
          <w:rFonts w:cstheme="minorHAnsi"/>
          <w:sz w:val="24"/>
          <w:szCs w:val="24"/>
        </w:rPr>
        <w:tab/>
      </w:r>
      <w:r w:rsidR="00B57C49">
        <w:rPr>
          <w:rFonts w:cstheme="minorHAnsi"/>
          <w:sz w:val="24"/>
          <w:szCs w:val="24"/>
        </w:rPr>
        <w:t>Wakefield Council is the lead authority for the Police and Crime Panel and as such hosts the associated staff.  Provision of office accommodation, internal legal support</w:t>
      </w:r>
      <w:r w:rsidR="00D551D9">
        <w:rPr>
          <w:rFonts w:cstheme="minorHAnsi"/>
          <w:sz w:val="24"/>
          <w:szCs w:val="24"/>
        </w:rPr>
        <w:t xml:space="preserve">, HR and IT, </w:t>
      </w:r>
      <w:r w:rsidR="00B57C49">
        <w:rPr>
          <w:rFonts w:cstheme="minorHAnsi"/>
          <w:sz w:val="24"/>
          <w:szCs w:val="24"/>
        </w:rPr>
        <w:t>is provided by Wakefield</w:t>
      </w:r>
      <w:r w:rsidR="001E227D">
        <w:rPr>
          <w:rFonts w:cstheme="minorHAnsi"/>
          <w:sz w:val="24"/>
          <w:szCs w:val="24"/>
        </w:rPr>
        <w:t xml:space="preserve"> Council</w:t>
      </w:r>
      <w:r w:rsidR="00B57C49">
        <w:rPr>
          <w:rFonts w:cstheme="minorHAnsi"/>
          <w:sz w:val="24"/>
          <w:szCs w:val="24"/>
        </w:rPr>
        <w:t xml:space="preserve"> </w:t>
      </w:r>
      <w:r w:rsidR="001E227D">
        <w:rPr>
          <w:rFonts w:cstheme="minorHAnsi"/>
          <w:sz w:val="24"/>
          <w:szCs w:val="24"/>
        </w:rPr>
        <w:t xml:space="preserve">and re-charged where appropriate.  </w:t>
      </w:r>
      <w:r w:rsidR="00412F11">
        <w:rPr>
          <w:rFonts w:cstheme="minorHAnsi"/>
          <w:sz w:val="24"/>
          <w:szCs w:val="24"/>
        </w:rPr>
        <w:t xml:space="preserve">The </w:t>
      </w:r>
      <w:r w:rsidR="00B57C49">
        <w:rPr>
          <w:rFonts w:cstheme="minorHAnsi"/>
          <w:sz w:val="24"/>
          <w:szCs w:val="24"/>
        </w:rPr>
        <w:t>role of Police and Crime Panel Officer</w:t>
      </w:r>
      <w:r w:rsidR="00412F11">
        <w:rPr>
          <w:rFonts w:cstheme="minorHAnsi"/>
          <w:sz w:val="24"/>
          <w:szCs w:val="24"/>
        </w:rPr>
        <w:t xml:space="preserve"> </w:t>
      </w:r>
      <w:r w:rsidR="00B57C49">
        <w:rPr>
          <w:rFonts w:cstheme="minorHAnsi"/>
          <w:sz w:val="24"/>
          <w:szCs w:val="24"/>
        </w:rPr>
        <w:t xml:space="preserve">is funded </w:t>
      </w:r>
      <w:r w:rsidR="00D551D9">
        <w:rPr>
          <w:rFonts w:cstheme="minorHAnsi"/>
          <w:sz w:val="24"/>
          <w:szCs w:val="24"/>
        </w:rPr>
        <w:t xml:space="preserve">through </w:t>
      </w:r>
      <w:r w:rsidR="00B57C49">
        <w:rPr>
          <w:rFonts w:cstheme="minorHAnsi"/>
          <w:sz w:val="24"/>
          <w:szCs w:val="24"/>
        </w:rPr>
        <w:t xml:space="preserve">the Home Office grant.  </w:t>
      </w:r>
    </w:p>
    <w:p w14:paraId="558B7C20" w14:textId="77777777" w:rsidR="00EE04BF" w:rsidRDefault="00EE04BF" w:rsidP="006B49CF">
      <w:pPr>
        <w:ind w:left="0" w:firstLine="0"/>
        <w:rPr>
          <w:rFonts w:cstheme="minorHAnsi"/>
          <w:b/>
          <w:sz w:val="24"/>
          <w:szCs w:val="24"/>
        </w:rPr>
      </w:pPr>
    </w:p>
    <w:p w14:paraId="558B7C21" w14:textId="77777777" w:rsidR="00B01615" w:rsidRPr="003E1810" w:rsidRDefault="00151F4C" w:rsidP="00610875">
      <w:pPr>
        <w:ind w:left="709" w:hanging="709"/>
        <w:rPr>
          <w:rFonts w:cstheme="minorHAnsi"/>
          <w:b/>
          <w:sz w:val="24"/>
          <w:szCs w:val="24"/>
        </w:rPr>
      </w:pPr>
      <w:r w:rsidRPr="003E1810">
        <w:rPr>
          <w:rFonts w:cstheme="minorHAnsi"/>
          <w:b/>
          <w:sz w:val="24"/>
          <w:szCs w:val="24"/>
        </w:rPr>
        <w:t>5</w:t>
      </w:r>
      <w:r w:rsidR="00610875" w:rsidRPr="003E1810">
        <w:rPr>
          <w:rFonts w:cstheme="minorHAnsi"/>
          <w:b/>
          <w:sz w:val="24"/>
          <w:szCs w:val="24"/>
        </w:rPr>
        <w:t>.</w:t>
      </w:r>
      <w:r w:rsidR="00610875" w:rsidRPr="003E1810">
        <w:rPr>
          <w:rFonts w:cstheme="minorHAnsi"/>
          <w:b/>
          <w:sz w:val="24"/>
          <w:szCs w:val="24"/>
        </w:rPr>
        <w:tab/>
      </w:r>
      <w:r w:rsidR="00B01615" w:rsidRPr="003E1810">
        <w:rPr>
          <w:rFonts w:cstheme="minorHAnsi"/>
          <w:b/>
          <w:sz w:val="24"/>
          <w:szCs w:val="24"/>
        </w:rPr>
        <w:t>Police and Crime Panel Costs</w:t>
      </w:r>
    </w:p>
    <w:p w14:paraId="558B7C22" w14:textId="77777777" w:rsidR="00B01615" w:rsidRPr="003E1810" w:rsidRDefault="00B01615" w:rsidP="00B01615">
      <w:pPr>
        <w:ind w:left="720" w:firstLine="0"/>
        <w:rPr>
          <w:rFonts w:cstheme="minorHAnsi"/>
          <w:sz w:val="24"/>
          <w:szCs w:val="24"/>
        </w:rPr>
      </w:pPr>
    </w:p>
    <w:p w14:paraId="558B7C23" w14:textId="77777777" w:rsidR="0024501F" w:rsidRPr="003E1810" w:rsidRDefault="00610875" w:rsidP="00610875">
      <w:pPr>
        <w:ind w:left="0" w:firstLine="0"/>
        <w:rPr>
          <w:rFonts w:cstheme="minorHAnsi"/>
          <w:b/>
          <w:sz w:val="24"/>
          <w:szCs w:val="24"/>
        </w:rPr>
      </w:pPr>
      <w:r w:rsidRPr="003E1810">
        <w:rPr>
          <w:rFonts w:cstheme="minorHAnsi"/>
          <w:b/>
          <w:sz w:val="24"/>
          <w:szCs w:val="24"/>
        </w:rPr>
        <w:tab/>
      </w:r>
      <w:r w:rsidR="0024501F" w:rsidRPr="003E1810">
        <w:rPr>
          <w:rFonts w:cstheme="minorHAnsi"/>
          <w:b/>
          <w:sz w:val="24"/>
          <w:szCs w:val="24"/>
        </w:rPr>
        <w:t>Panel Allowances</w:t>
      </w:r>
      <w:r w:rsidR="00183873">
        <w:rPr>
          <w:rFonts w:cstheme="minorHAnsi"/>
          <w:b/>
          <w:sz w:val="24"/>
          <w:szCs w:val="24"/>
        </w:rPr>
        <w:t xml:space="preserve"> and Expenses</w:t>
      </w:r>
    </w:p>
    <w:p w14:paraId="558B7C24" w14:textId="77777777" w:rsidR="0024501F" w:rsidRPr="003E1810" w:rsidRDefault="0024501F" w:rsidP="00B01615">
      <w:pPr>
        <w:ind w:left="720" w:firstLine="0"/>
        <w:rPr>
          <w:rFonts w:cstheme="minorHAnsi"/>
          <w:b/>
          <w:sz w:val="24"/>
          <w:szCs w:val="24"/>
        </w:rPr>
      </w:pPr>
    </w:p>
    <w:p w14:paraId="558B7C25" w14:textId="77777777" w:rsidR="00610875" w:rsidRDefault="00151F4C" w:rsidP="00183873">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.1</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Each local authority is </w:t>
      </w:r>
      <w:r w:rsidR="00610875" w:rsidRPr="003E1810">
        <w:rPr>
          <w:rFonts w:ascii="Calibri" w:eastAsia="Times New Roman" w:hAnsi="Calibri" w:cs="Calibri"/>
          <w:sz w:val="24"/>
          <w:szCs w:val="24"/>
          <w:lang w:eastAsia="en-GB"/>
        </w:rPr>
        <w:t xml:space="preserve">responsible for </w:t>
      </w:r>
      <w:r w:rsidR="008453F0" w:rsidRPr="003E1810">
        <w:rPr>
          <w:rFonts w:ascii="Calibri" w:eastAsia="Times New Roman" w:hAnsi="Calibri" w:cs="Calibri"/>
          <w:sz w:val="24"/>
          <w:szCs w:val="24"/>
          <w:lang w:eastAsia="en-GB"/>
        </w:rPr>
        <w:t xml:space="preserve">making arrangements to pay an allowance to its own Panel Members. </w:t>
      </w:r>
    </w:p>
    <w:p w14:paraId="558B7C26" w14:textId="77777777" w:rsidR="00183873" w:rsidRDefault="00183873" w:rsidP="00183873">
      <w:pPr>
        <w:ind w:left="720"/>
        <w:rPr>
          <w:rFonts w:ascii="Calibri" w:eastAsia="Times New Roman" w:hAnsi="Calibri" w:cs="Calibri"/>
          <w:sz w:val="24"/>
          <w:szCs w:val="24"/>
          <w:lang w:eastAsia="en-GB"/>
        </w:rPr>
      </w:pPr>
    </w:p>
    <w:p w14:paraId="558B7C27" w14:textId="77777777" w:rsidR="00183873" w:rsidRDefault="00183873" w:rsidP="00183873">
      <w:pPr>
        <w:ind w:left="720"/>
        <w:rPr>
          <w:rFonts w:ascii="Calibri" w:eastAsia="Times New Roman" w:hAnsi="Calibri" w:cs="Calibri"/>
          <w:sz w:val="24"/>
          <w:szCs w:val="24"/>
          <w:lang w:eastAsia="en-GB"/>
        </w:rPr>
      </w:pPr>
      <w:r>
        <w:rPr>
          <w:rFonts w:ascii="Calibri" w:eastAsia="Times New Roman" w:hAnsi="Calibri" w:cs="Calibri"/>
          <w:sz w:val="24"/>
          <w:szCs w:val="24"/>
          <w:lang w:eastAsia="en-GB"/>
        </w:rPr>
        <w:t>5.2</w:t>
      </w:r>
      <w:r>
        <w:rPr>
          <w:rFonts w:ascii="Calibri" w:eastAsia="Times New Roman" w:hAnsi="Calibri" w:cs="Calibri"/>
          <w:sz w:val="24"/>
          <w:szCs w:val="24"/>
          <w:lang w:eastAsia="en-GB"/>
        </w:rPr>
        <w:tab/>
        <w:t>Each local authority is responsible for paying any out of pocket expenses to their own Panel member unless the Panel Member is partaking in duties outside of West Yorkshire or in other exceptional circumstances.</w:t>
      </w:r>
    </w:p>
    <w:p w14:paraId="558B7C28" w14:textId="77777777" w:rsidR="00EB0155" w:rsidRPr="003E1810" w:rsidRDefault="00EB0155" w:rsidP="00610875">
      <w:pPr>
        <w:ind w:left="720"/>
        <w:rPr>
          <w:rFonts w:ascii="Calibri" w:eastAsia="Times New Roman" w:hAnsi="Calibri" w:cs="Calibri"/>
          <w:sz w:val="24"/>
          <w:szCs w:val="24"/>
          <w:lang w:eastAsia="en-GB"/>
        </w:rPr>
      </w:pPr>
    </w:p>
    <w:p w14:paraId="558B7C29" w14:textId="77777777" w:rsidR="00610875"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.2</w:t>
      </w:r>
      <w:r w:rsidR="00610875" w:rsidRPr="003E1810">
        <w:rPr>
          <w:rFonts w:ascii="Calibri" w:eastAsia="Times New Roman" w:hAnsi="Calibri" w:cs="Calibri"/>
          <w:sz w:val="24"/>
          <w:szCs w:val="24"/>
          <w:lang w:eastAsia="en-GB"/>
        </w:rPr>
        <w:tab/>
      </w:r>
      <w:r w:rsidR="00D46590">
        <w:rPr>
          <w:rFonts w:ascii="Calibri" w:eastAsia="Times New Roman" w:hAnsi="Calibri" w:cs="Calibri"/>
          <w:sz w:val="24"/>
          <w:szCs w:val="24"/>
          <w:lang w:eastAsia="en-GB"/>
        </w:rPr>
        <w:t>T</w:t>
      </w:r>
      <w:r w:rsidR="008453F0" w:rsidRPr="003E1810">
        <w:rPr>
          <w:rFonts w:ascii="Calibri" w:eastAsia="Times New Roman" w:hAnsi="Calibri" w:cs="Calibri"/>
          <w:sz w:val="24"/>
          <w:szCs w:val="24"/>
          <w:lang w:eastAsia="en-GB"/>
        </w:rPr>
        <w:t xml:space="preserve">he allowance </w:t>
      </w:r>
      <w:r w:rsidR="00183873">
        <w:rPr>
          <w:rFonts w:ascii="Calibri" w:eastAsia="Times New Roman" w:hAnsi="Calibri" w:cs="Calibri"/>
          <w:sz w:val="24"/>
          <w:szCs w:val="24"/>
          <w:lang w:eastAsia="en-GB"/>
        </w:rPr>
        <w:t xml:space="preserve">and any other expenses </w:t>
      </w:r>
      <w:r w:rsidR="008453F0" w:rsidRPr="003E1810">
        <w:rPr>
          <w:rFonts w:ascii="Calibri" w:eastAsia="Times New Roman" w:hAnsi="Calibri" w:cs="Calibri"/>
          <w:sz w:val="24"/>
          <w:szCs w:val="24"/>
          <w:lang w:eastAsia="en-GB"/>
        </w:rPr>
        <w:t xml:space="preserve">for Independent </w:t>
      </w:r>
      <w:r w:rsidR="00610875" w:rsidRPr="003E1810">
        <w:rPr>
          <w:rFonts w:ascii="Calibri" w:eastAsia="Times New Roman" w:hAnsi="Calibri" w:cs="Calibri"/>
          <w:sz w:val="24"/>
          <w:szCs w:val="24"/>
          <w:lang w:eastAsia="en-GB"/>
        </w:rPr>
        <w:t xml:space="preserve">Co-opted </w:t>
      </w:r>
      <w:r w:rsidR="008453F0" w:rsidRPr="003E1810">
        <w:rPr>
          <w:rFonts w:ascii="Calibri" w:eastAsia="Times New Roman" w:hAnsi="Calibri" w:cs="Calibri"/>
          <w:sz w:val="24"/>
          <w:szCs w:val="24"/>
          <w:lang w:eastAsia="en-GB"/>
        </w:rPr>
        <w:t>M</w:t>
      </w:r>
      <w:r w:rsidR="00C7042D">
        <w:rPr>
          <w:rFonts w:ascii="Calibri" w:eastAsia="Times New Roman" w:hAnsi="Calibri" w:cs="Calibri"/>
          <w:sz w:val="24"/>
          <w:szCs w:val="24"/>
          <w:lang w:eastAsia="en-GB"/>
        </w:rPr>
        <w:t xml:space="preserve">embers </w:t>
      </w:r>
      <w:r w:rsidR="00D46590">
        <w:rPr>
          <w:rFonts w:ascii="Calibri" w:eastAsia="Times New Roman" w:hAnsi="Calibri" w:cs="Calibri"/>
          <w:sz w:val="24"/>
          <w:szCs w:val="24"/>
          <w:lang w:eastAsia="en-GB"/>
        </w:rPr>
        <w:t xml:space="preserve">is </w:t>
      </w:r>
      <w:r w:rsidR="00C7042D">
        <w:rPr>
          <w:rFonts w:ascii="Calibri" w:eastAsia="Times New Roman" w:hAnsi="Calibri" w:cs="Calibri"/>
          <w:sz w:val="24"/>
          <w:szCs w:val="24"/>
          <w:lang w:eastAsia="en-GB"/>
        </w:rPr>
        <w:t>paid from the Panel</w:t>
      </w:r>
      <w:r w:rsidR="00B57C49">
        <w:rPr>
          <w:rFonts w:ascii="Calibri" w:eastAsia="Times New Roman" w:hAnsi="Calibri" w:cs="Calibri"/>
          <w:sz w:val="24"/>
          <w:szCs w:val="24"/>
          <w:lang w:eastAsia="en-GB"/>
        </w:rPr>
        <w:t xml:space="preserve"> budget.</w:t>
      </w:r>
      <w:r w:rsidR="008453F0" w:rsidRPr="003E1810">
        <w:rPr>
          <w:rFonts w:ascii="Calibri" w:eastAsia="Times New Roman" w:hAnsi="Calibri" w:cs="Calibri"/>
          <w:sz w:val="24"/>
          <w:szCs w:val="24"/>
          <w:lang w:eastAsia="en-GB"/>
        </w:rPr>
        <w:t xml:space="preserve">  </w:t>
      </w:r>
    </w:p>
    <w:p w14:paraId="558B7C2A" w14:textId="77777777" w:rsidR="00EE04BF" w:rsidRDefault="00EE04BF" w:rsidP="006B49CF">
      <w:pPr>
        <w:ind w:left="0" w:firstLine="0"/>
        <w:rPr>
          <w:rFonts w:cstheme="minorHAnsi"/>
          <w:b/>
          <w:sz w:val="24"/>
          <w:szCs w:val="24"/>
        </w:rPr>
      </w:pPr>
    </w:p>
    <w:p w14:paraId="558B7C2B" w14:textId="77777777" w:rsidR="00F2080C" w:rsidRPr="0032351F" w:rsidRDefault="00183873" w:rsidP="00E36A9B">
      <w:pPr>
        <w:ind w:left="720"/>
        <w:rPr>
          <w:rFonts w:cstheme="minorHAnsi"/>
          <w:b/>
          <w:sz w:val="24"/>
          <w:szCs w:val="24"/>
        </w:rPr>
      </w:pPr>
      <w:r>
        <w:rPr>
          <w:rFonts w:cstheme="minorHAnsi"/>
          <w:b/>
          <w:sz w:val="24"/>
          <w:szCs w:val="24"/>
        </w:rPr>
        <w:t>6</w:t>
      </w:r>
      <w:r w:rsidR="0032351F" w:rsidRPr="0032351F">
        <w:rPr>
          <w:rFonts w:cstheme="minorHAnsi"/>
          <w:b/>
          <w:sz w:val="24"/>
          <w:szCs w:val="24"/>
        </w:rPr>
        <w:t>.0</w:t>
      </w:r>
      <w:r w:rsidR="0032351F" w:rsidRPr="0032351F">
        <w:rPr>
          <w:rFonts w:cstheme="minorHAnsi"/>
          <w:b/>
          <w:sz w:val="24"/>
          <w:szCs w:val="24"/>
        </w:rPr>
        <w:tab/>
      </w:r>
      <w:r w:rsidR="00F2080C" w:rsidRPr="0032351F">
        <w:rPr>
          <w:rFonts w:cstheme="minorHAnsi"/>
          <w:b/>
          <w:sz w:val="24"/>
          <w:szCs w:val="24"/>
        </w:rPr>
        <w:t>Current Position</w:t>
      </w:r>
    </w:p>
    <w:p w14:paraId="558B7C2C" w14:textId="77777777" w:rsidR="00F2080C" w:rsidRDefault="00F2080C" w:rsidP="00E36A9B">
      <w:pPr>
        <w:ind w:left="720"/>
        <w:rPr>
          <w:rFonts w:cstheme="minorHAnsi"/>
          <w:sz w:val="24"/>
          <w:szCs w:val="24"/>
        </w:rPr>
      </w:pPr>
    </w:p>
    <w:p w14:paraId="558B7C2D" w14:textId="7D163A29" w:rsidR="00F2080C" w:rsidRDefault="00183873" w:rsidP="00183873">
      <w:pPr>
        <w:ind w:left="720"/>
        <w:rPr>
          <w:rFonts w:cstheme="minorHAnsi"/>
          <w:sz w:val="24"/>
          <w:szCs w:val="24"/>
        </w:rPr>
      </w:pPr>
      <w:r>
        <w:rPr>
          <w:rFonts w:cstheme="minorHAnsi"/>
          <w:sz w:val="24"/>
          <w:szCs w:val="24"/>
        </w:rPr>
        <w:t>6</w:t>
      </w:r>
      <w:r w:rsidR="007C146C">
        <w:rPr>
          <w:rFonts w:cstheme="minorHAnsi"/>
          <w:sz w:val="24"/>
          <w:szCs w:val="24"/>
        </w:rPr>
        <w:t>.1</w:t>
      </w:r>
      <w:r w:rsidR="00F2080C">
        <w:rPr>
          <w:rFonts w:cstheme="minorHAnsi"/>
          <w:sz w:val="24"/>
          <w:szCs w:val="24"/>
        </w:rPr>
        <w:tab/>
      </w:r>
      <w:r>
        <w:rPr>
          <w:rFonts w:cstheme="minorHAnsi"/>
          <w:sz w:val="24"/>
          <w:szCs w:val="24"/>
        </w:rPr>
        <w:t xml:space="preserve">As a result of the initial local authority contributions and the continued payment of the Home Office Grant funding as well as some staffing savings </w:t>
      </w:r>
      <w:r w:rsidR="0008272B">
        <w:rPr>
          <w:rFonts w:cstheme="minorHAnsi"/>
          <w:sz w:val="24"/>
          <w:szCs w:val="24"/>
        </w:rPr>
        <w:t>made in previous years</w:t>
      </w:r>
      <w:r w:rsidR="00D551D9">
        <w:rPr>
          <w:rFonts w:cstheme="minorHAnsi"/>
          <w:sz w:val="24"/>
          <w:szCs w:val="24"/>
        </w:rPr>
        <w:t>,</w:t>
      </w:r>
      <w:r w:rsidR="00A66C53">
        <w:rPr>
          <w:rFonts w:cstheme="minorHAnsi"/>
          <w:sz w:val="24"/>
          <w:szCs w:val="24"/>
        </w:rPr>
        <w:t xml:space="preserve"> </w:t>
      </w:r>
      <w:r>
        <w:rPr>
          <w:rFonts w:cstheme="minorHAnsi"/>
          <w:sz w:val="24"/>
          <w:szCs w:val="24"/>
        </w:rPr>
        <w:t>the Police and Crime Panel now holds a surplus of funds</w:t>
      </w:r>
      <w:r w:rsidR="005F4111">
        <w:rPr>
          <w:rFonts w:cstheme="minorHAnsi"/>
          <w:sz w:val="24"/>
          <w:szCs w:val="24"/>
        </w:rPr>
        <w:t xml:space="preserve"> of £46,470</w:t>
      </w:r>
      <w:r>
        <w:rPr>
          <w:rFonts w:cstheme="minorHAnsi"/>
          <w:sz w:val="24"/>
          <w:szCs w:val="24"/>
        </w:rPr>
        <w:t xml:space="preserve"> wh</w:t>
      </w:r>
      <w:r w:rsidR="001E227D">
        <w:rPr>
          <w:rFonts w:cstheme="minorHAnsi"/>
          <w:sz w:val="24"/>
          <w:szCs w:val="24"/>
        </w:rPr>
        <w:t>ich has rolled forward into 2018</w:t>
      </w:r>
      <w:r>
        <w:rPr>
          <w:rFonts w:cstheme="minorHAnsi"/>
          <w:sz w:val="24"/>
          <w:szCs w:val="24"/>
        </w:rPr>
        <w:t>/1</w:t>
      </w:r>
      <w:r w:rsidR="001E227D">
        <w:rPr>
          <w:rFonts w:cstheme="minorHAnsi"/>
          <w:sz w:val="24"/>
          <w:szCs w:val="24"/>
        </w:rPr>
        <w:t>9</w:t>
      </w:r>
      <w:r>
        <w:rPr>
          <w:rFonts w:cstheme="minorHAnsi"/>
          <w:sz w:val="24"/>
          <w:szCs w:val="24"/>
        </w:rPr>
        <w:t xml:space="preserve">.  </w:t>
      </w:r>
    </w:p>
    <w:p w14:paraId="558B7C2E" w14:textId="77777777" w:rsidR="00183873" w:rsidRDefault="00183873" w:rsidP="00E36A9B">
      <w:pPr>
        <w:ind w:left="720"/>
        <w:rPr>
          <w:rFonts w:cstheme="minorHAnsi"/>
          <w:sz w:val="24"/>
          <w:szCs w:val="24"/>
        </w:rPr>
      </w:pPr>
    </w:p>
    <w:p w14:paraId="558B7C2F" w14:textId="5625518A" w:rsidR="005B3338" w:rsidRDefault="00183873" w:rsidP="00E36A9B">
      <w:pPr>
        <w:ind w:left="720"/>
        <w:rPr>
          <w:rFonts w:cstheme="minorHAnsi"/>
          <w:sz w:val="24"/>
          <w:szCs w:val="24"/>
        </w:rPr>
      </w:pPr>
      <w:r>
        <w:rPr>
          <w:rFonts w:cstheme="minorHAnsi"/>
          <w:sz w:val="24"/>
          <w:szCs w:val="24"/>
        </w:rPr>
        <w:t>6</w:t>
      </w:r>
      <w:r w:rsidR="007C146C">
        <w:rPr>
          <w:rFonts w:cstheme="minorHAnsi"/>
          <w:sz w:val="24"/>
          <w:szCs w:val="24"/>
        </w:rPr>
        <w:t>.</w:t>
      </w:r>
      <w:r>
        <w:rPr>
          <w:rFonts w:cstheme="minorHAnsi"/>
          <w:sz w:val="24"/>
          <w:szCs w:val="24"/>
        </w:rPr>
        <w:t>2</w:t>
      </w:r>
      <w:r w:rsidR="005B3338">
        <w:rPr>
          <w:rFonts w:cstheme="minorHAnsi"/>
          <w:sz w:val="24"/>
          <w:szCs w:val="24"/>
        </w:rPr>
        <w:tab/>
        <w:t xml:space="preserve">With the current staffing levels, the Home Office funding now covers core funding of the Police and Crime Panel.  </w:t>
      </w:r>
      <w:r w:rsidR="0072499A">
        <w:rPr>
          <w:rFonts w:cstheme="minorHAnsi"/>
          <w:sz w:val="24"/>
          <w:szCs w:val="24"/>
        </w:rPr>
        <w:t xml:space="preserve">A contingency for additional legal costs if additional support in this area is required, has been included </w:t>
      </w:r>
      <w:r w:rsidR="00952E79">
        <w:rPr>
          <w:rFonts w:cstheme="minorHAnsi"/>
          <w:sz w:val="24"/>
          <w:szCs w:val="24"/>
        </w:rPr>
        <w:t xml:space="preserve">and if </w:t>
      </w:r>
      <w:r w:rsidR="00A66C53">
        <w:rPr>
          <w:rFonts w:cstheme="minorHAnsi"/>
          <w:sz w:val="24"/>
          <w:szCs w:val="24"/>
        </w:rPr>
        <w:t xml:space="preserve">required will be covered by the </w:t>
      </w:r>
      <w:r w:rsidR="00741A88">
        <w:rPr>
          <w:rFonts w:cstheme="minorHAnsi"/>
          <w:sz w:val="24"/>
          <w:szCs w:val="24"/>
        </w:rPr>
        <w:t>Panel reserve fund.</w:t>
      </w:r>
      <w:r w:rsidR="00A975ED">
        <w:rPr>
          <w:rFonts w:cstheme="minorHAnsi"/>
          <w:sz w:val="24"/>
          <w:szCs w:val="24"/>
        </w:rPr>
        <w:t xml:space="preserve">  </w:t>
      </w:r>
    </w:p>
    <w:p w14:paraId="2C3951A7" w14:textId="77777777" w:rsidR="00741A88" w:rsidRDefault="00741A88" w:rsidP="00E36A9B">
      <w:pPr>
        <w:ind w:left="720"/>
        <w:rPr>
          <w:rFonts w:cstheme="minorHAnsi"/>
          <w:sz w:val="24"/>
          <w:szCs w:val="24"/>
        </w:rPr>
      </w:pPr>
    </w:p>
    <w:p w14:paraId="558B7C31" w14:textId="4EA31F9E" w:rsidR="00183873" w:rsidRDefault="00741A88" w:rsidP="00E36A9B">
      <w:pPr>
        <w:ind w:left="720"/>
        <w:rPr>
          <w:rFonts w:cstheme="minorHAnsi"/>
          <w:sz w:val="24"/>
          <w:szCs w:val="24"/>
        </w:rPr>
      </w:pPr>
      <w:r>
        <w:rPr>
          <w:rFonts w:cstheme="minorHAnsi"/>
          <w:sz w:val="24"/>
          <w:szCs w:val="24"/>
        </w:rPr>
        <w:t>6.3</w:t>
      </w:r>
      <w:r w:rsidR="0032351F">
        <w:rPr>
          <w:rFonts w:cstheme="minorHAnsi"/>
          <w:sz w:val="24"/>
          <w:szCs w:val="24"/>
        </w:rPr>
        <w:tab/>
      </w:r>
      <w:r w:rsidR="00D551D9">
        <w:rPr>
          <w:rFonts w:cstheme="minorHAnsi"/>
          <w:sz w:val="24"/>
          <w:szCs w:val="24"/>
        </w:rPr>
        <w:t>Further s</w:t>
      </w:r>
      <w:r w:rsidR="00183873">
        <w:rPr>
          <w:rFonts w:cstheme="minorHAnsi"/>
          <w:sz w:val="24"/>
          <w:szCs w:val="24"/>
        </w:rPr>
        <w:t xml:space="preserve">avings to the Police and Crime Panel budget </w:t>
      </w:r>
      <w:r w:rsidR="00F1749C">
        <w:rPr>
          <w:rFonts w:cstheme="minorHAnsi"/>
          <w:sz w:val="24"/>
          <w:szCs w:val="24"/>
        </w:rPr>
        <w:t>were</w:t>
      </w:r>
      <w:r w:rsidR="00A66C53">
        <w:rPr>
          <w:rFonts w:cstheme="minorHAnsi"/>
          <w:sz w:val="24"/>
          <w:szCs w:val="24"/>
        </w:rPr>
        <w:t xml:space="preserve"> made following an independent </w:t>
      </w:r>
      <w:r w:rsidR="00183873">
        <w:rPr>
          <w:rFonts w:cstheme="minorHAnsi"/>
          <w:sz w:val="24"/>
          <w:szCs w:val="24"/>
        </w:rPr>
        <w:t xml:space="preserve">review of Panel member allowances in 2014, which resulted in a reduction to the payable allowance.  </w:t>
      </w:r>
      <w:r w:rsidR="0032351F">
        <w:rPr>
          <w:rFonts w:cstheme="minorHAnsi"/>
          <w:sz w:val="24"/>
          <w:szCs w:val="24"/>
        </w:rPr>
        <w:t xml:space="preserve">The Police and Crime Panel budget funds allowances for the two independent Panel Members. </w:t>
      </w:r>
      <w:r w:rsidR="007C146C">
        <w:rPr>
          <w:rFonts w:cstheme="minorHAnsi"/>
          <w:sz w:val="24"/>
          <w:szCs w:val="24"/>
        </w:rPr>
        <w:t xml:space="preserve"> </w:t>
      </w:r>
    </w:p>
    <w:p w14:paraId="558B7C32" w14:textId="77777777" w:rsidR="00183873" w:rsidRDefault="00183873" w:rsidP="00E36A9B">
      <w:pPr>
        <w:ind w:left="720"/>
        <w:rPr>
          <w:rFonts w:cstheme="minorHAnsi"/>
          <w:sz w:val="24"/>
          <w:szCs w:val="24"/>
        </w:rPr>
      </w:pPr>
    </w:p>
    <w:p w14:paraId="558B7C33" w14:textId="6860AC7A" w:rsidR="0032351F" w:rsidRDefault="00741A88" w:rsidP="00E36A9B">
      <w:pPr>
        <w:ind w:left="720"/>
        <w:rPr>
          <w:rFonts w:cstheme="minorHAnsi"/>
          <w:sz w:val="24"/>
          <w:szCs w:val="24"/>
        </w:rPr>
      </w:pPr>
      <w:r>
        <w:rPr>
          <w:rFonts w:cstheme="minorHAnsi"/>
          <w:sz w:val="24"/>
          <w:szCs w:val="24"/>
        </w:rPr>
        <w:lastRenderedPageBreak/>
        <w:t>6.4</w:t>
      </w:r>
      <w:r w:rsidR="0032351F">
        <w:rPr>
          <w:rFonts w:cstheme="minorHAnsi"/>
          <w:sz w:val="24"/>
          <w:szCs w:val="24"/>
        </w:rPr>
        <w:tab/>
        <w:t xml:space="preserve">In view of the savings that have been made and the amount that has accrued in the Panel budget, it is </w:t>
      </w:r>
      <w:r w:rsidR="00183873">
        <w:rPr>
          <w:rFonts w:cstheme="minorHAnsi"/>
          <w:sz w:val="24"/>
          <w:szCs w:val="24"/>
        </w:rPr>
        <w:t xml:space="preserve">again </w:t>
      </w:r>
      <w:r w:rsidR="0032351F">
        <w:rPr>
          <w:rFonts w:cstheme="minorHAnsi"/>
          <w:sz w:val="24"/>
          <w:szCs w:val="24"/>
        </w:rPr>
        <w:t>not necessary for local authority contributions to be made for 201</w:t>
      </w:r>
      <w:r w:rsidR="001E227D">
        <w:rPr>
          <w:rFonts w:cstheme="minorHAnsi"/>
          <w:sz w:val="24"/>
          <w:szCs w:val="24"/>
        </w:rPr>
        <w:t>8</w:t>
      </w:r>
      <w:r w:rsidR="0032351F">
        <w:rPr>
          <w:rFonts w:cstheme="minorHAnsi"/>
          <w:sz w:val="24"/>
          <w:szCs w:val="24"/>
        </w:rPr>
        <w:t>/1</w:t>
      </w:r>
      <w:r w:rsidR="001E227D">
        <w:rPr>
          <w:rFonts w:cstheme="minorHAnsi"/>
          <w:sz w:val="24"/>
          <w:szCs w:val="24"/>
        </w:rPr>
        <w:t>9</w:t>
      </w:r>
      <w:r w:rsidR="0032351F">
        <w:rPr>
          <w:rFonts w:cstheme="minorHAnsi"/>
          <w:sz w:val="24"/>
          <w:szCs w:val="24"/>
        </w:rPr>
        <w:t>.</w:t>
      </w:r>
    </w:p>
    <w:p w14:paraId="558B7C34" w14:textId="77777777" w:rsidR="00EE04BF" w:rsidRDefault="00EE04BF" w:rsidP="006B49CF">
      <w:pPr>
        <w:ind w:left="0" w:firstLine="0"/>
        <w:rPr>
          <w:rFonts w:cstheme="minorHAnsi"/>
          <w:b/>
          <w:sz w:val="24"/>
          <w:szCs w:val="24"/>
        </w:rPr>
      </w:pPr>
    </w:p>
    <w:p w14:paraId="558B7C35" w14:textId="64C5E1C1" w:rsidR="003D68A8" w:rsidRPr="003E1810" w:rsidRDefault="00741A88" w:rsidP="00392293">
      <w:pPr>
        <w:ind w:left="720"/>
        <w:rPr>
          <w:rFonts w:cstheme="minorHAnsi"/>
          <w:b/>
          <w:sz w:val="24"/>
          <w:szCs w:val="24"/>
        </w:rPr>
      </w:pPr>
      <w:r>
        <w:rPr>
          <w:rFonts w:cstheme="minorHAnsi"/>
          <w:b/>
          <w:sz w:val="24"/>
          <w:szCs w:val="24"/>
        </w:rPr>
        <w:t>7</w:t>
      </w:r>
      <w:r w:rsidR="00151F4C" w:rsidRPr="003E1810">
        <w:rPr>
          <w:rFonts w:cstheme="minorHAnsi"/>
          <w:b/>
          <w:sz w:val="24"/>
          <w:szCs w:val="24"/>
        </w:rPr>
        <w:t>.0</w:t>
      </w:r>
      <w:r w:rsidR="00151F4C" w:rsidRPr="003E1810">
        <w:rPr>
          <w:rFonts w:cstheme="minorHAnsi"/>
          <w:b/>
          <w:sz w:val="24"/>
          <w:szCs w:val="24"/>
        </w:rPr>
        <w:tab/>
      </w:r>
      <w:r w:rsidR="003D68A8" w:rsidRPr="003E1810">
        <w:rPr>
          <w:rFonts w:cstheme="minorHAnsi"/>
          <w:b/>
          <w:sz w:val="24"/>
          <w:szCs w:val="24"/>
        </w:rPr>
        <w:t>Recommendations:</w:t>
      </w:r>
    </w:p>
    <w:p w14:paraId="558B7C36" w14:textId="77777777" w:rsidR="00151F4C" w:rsidRDefault="00151F4C" w:rsidP="00151F4C">
      <w:pPr>
        <w:ind w:left="709" w:hanging="709"/>
        <w:rPr>
          <w:rFonts w:cstheme="minorHAnsi"/>
          <w:b/>
          <w:sz w:val="24"/>
          <w:szCs w:val="24"/>
        </w:rPr>
      </w:pPr>
    </w:p>
    <w:p w14:paraId="558B7C37" w14:textId="77777777" w:rsidR="00151F4C" w:rsidRPr="003E1810" w:rsidRDefault="00151F4C" w:rsidP="00151F4C">
      <w:pPr>
        <w:ind w:left="709" w:hanging="709"/>
        <w:rPr>
          <w:rFonts w:cstheme="minorHAnsi"/>
          <w:sz w:val="24"/>
          <w:szCs w:val="24"/>
        </w:rPr>
      </w:pPr>
      <w:r w:rsidRPr="003E1810">
        <w:rPr>
          <w:rFonts w:cstheme="minorHAnsi"/>
          <w:b/>
          <w:sz w:val="24"/>
          <w:szCs w:val="24"/>
        </w:rPr>
        <w:tab/>
      </w:r>
      <w:r w:rsidRPr="003E1810">
        <w:rPr>
          <w:rFonts w:cstheme="minorHAnsi"/>
          <w:sz w:val="24"/>
          <w:szCs w:val="24"/>
        </w:rPr>
        <w:t>The Panel is asked to:</w:t>
      </w:r>
    </w:p>
    <w:p w14:paraId="558B7C38" w14:textId="77777777" w:rsidR="00151F4C" w:rsidRPr="003E1810" w:rsidRDefault="00151F4C" w:rsidP="00151F4C">
      <w:pPr>
        <w:ind w:left="709" w:hanging="709"/>
        <w:rPr>
          <w:rFonts w:cstheme="minorHAnsi"/>
          <w:sz w:val="24"/>
          <w:szCs w:val="24"/>
        </w:rPr>
      </w:pPr>
    </w:p>
    <w:p w14:paraId="558B7C39" w14:textId="41E6C8C3" w:rsidR="00D00B4B" w:rsidRDefault="00132B53" w:rsidP="00D00B4B">
      <w:pPr>
        <w:numPr>
          <w:ilvl w:val="0"/>
          <w:numId w:val="5"/>
        </w:numPr>
        <w:rPr>
          <w:rFonts w:cstheme="minorHAnsi"/>
          <w:sz w:val="24"/>
          <w:szCs w:val="24"/>
        </w:rPr>
      </w:pPr>
      <w:r>
        <w:rPr>
          <w:rFonts w:cstheme="minorHAnsi"/>
          <w:sz w:val="24"/>
          <w:szCs w:val="24"/>
        </w:rPr>
        <w:t xml:space="preserve">Note </w:t>
      </w:r>
      <w:r w:rsidR="00CE594E" w:rsidRPr="00132B53">
        <w:rPr>
          <w:rFonts w:cstheme="minorHAnsi"/>
          <w:sz w:val="24"/>
          <w:szCs w:val="24"/>
        </w:rPr>
        <w:t>the</w:t>
      </w:r>
      <w:r w:rsidR="0008272B">
        <w:rPr>
          <w:rFonts w:cstheme="minorHAnsi"/>
          <w:sz w:val="24"/>
          <w:szCs w:val="24"/>
        </w:rPr>
        <w:t xml:space="preserve"> outturn</w:t>
      </w:r>
      <w:r w:rsidR="00CE594E" w:rsidRPr="00132B53">
        <w:rPr>
          <w:rFonts w:cstheme="minorHAnsi"/>
          <w:sz w:val="24"/>
          <w:szCs w:val="24"/>
        </w:rPr>
        <w:t xml:space="preserve"> funding </w:t>
      </w:r>
      <w:r w:rsidR="003E1810" w:rsidRPr="00132B53">
        <w:rPr>
          <w:rFonts w:cstheme="minorHAnsi"/>
          <w:sz w:val="24"/>
          <w:szCs w:val="24"/>
        </w:rPr>
        <w:t>position for the Panel</w:t>
      </w:r>
      <w:r w:rsidR="00CE594E" w:rsidRPr="00132B53">
        <w:rPr>
          <w:rFonts w:cstheme="minorHAnsi"/>
          <w:sz w:val="24"/>
          <w:szCs w:val="24"/>
        </w:rPr>
        <w:t xml:space="preserve"> for 201</w:t>
      </w:r>
      <w:r w:rsidR="001E227D">
        <w:rPr>
          <w:rFonts w:cstheme="minorHAnsi"/>
          <w:sz w:val="24"/>
          <w:szCs w:val="24"/>
        </w:rPr>
        <w:t>7</w:t>
      </w:r>
      <w:r w:rsidR="00CE594E" w:rsidRPr="00132B53">
        <w:rPr>
          <w:rFonts w:cstheme="minorHAnsi"/>
          <w:sz w:val="24"/>
          <w:szCs w:val="24"/>
        </w:rPr>
        <w:t>/1</w:t>
      </w:r>
      <w:r w:rsidR="001E227D">
        <w:rPr>
          <w:rFonts w:cstheme="minorHAnsi"/>
          <w:sz w:val="24"/>
          <w:szCs w:val="24"/>
        </w:rPr>
        <w:t>8</w:t>
      </w:r>
      <w:r w:rsidR="00CE594E" w:rsidRPr="00132B53">
        <w:rPr>
          <w:rFonts w:cstheme="minorHAnsi"/>
          <w:sz w:val="24"/>
          <w:szCs w:val="24"/>
        </w:rPr>
        <w:t xml:space="preserve"> </w:t>
      </w:r>
      <w:r w:rsidR="00DE6CA9">
        <w:rPr>
          <w:rFonts w:cstheme="minorHAnsi"/>
          <w:sz w:val="24"/>
          <w:szCs w:val="24"/>
        </w:rPr>
        <w:t>– Appendix A</w:t>
      </w:r>
    </w:p>
    <w:p w14:paraId="558B7C3A" w14:textId="45ED22DE" w:rsidR="00893C26" w:rsidRPr="00D00B4B" w:rsidRDefault="007C146C" w:rsidP="00D00B4B">
      <w:pPr>
        <w:numPr>
          <w:ilvl w:val="0"/>
          <w:numId w:val="5"/>
        </w:numPr>
        <w:rPr>
          <w:rFonts w:cstheme="minorHAnsi"/>
          <w:sz w:val="24"/>
          <w:szCs w:val="24"/>
        </w:rPr>
      </w:pPr>
      <w:r>
        <w:rPr>
          <w:rFonts w:cstheme="minorHAnsi"/>
          <w:sz w:val="24"/>
          <w:szCs w:val="24"/>
        </w:rPr>
        <w:t>A</w:t>
      </w:r>
      <w:r w:rsidR="00132B53" w:rsidRPr="00D00B4B">
        <w:rPr>
          <w:rFonts w:cstheme="minorHAnsi"/>
          <w:sz w:val="24"/>
          <w:szCs w:val="24"/>
        </w:rPr>
        <w:t>gree</w:t>
      </w:r>
      <w:r w:rsidR="00D00B4B">
        <w:rPr>
          <w:rFonts w:cstheme="minorHAnsi"/>
          <w:sz w:val="24"/>
          <w:szCs w:val="24"/>
        </w:rPr>
        <w:t xml:space="preserve"> </w:t>
      </w:r>
      <w:r>
        <w:rPr>
          <w:rFonts w:cstheme="minorHAnsi"/>
          <w:sz w:val="24"/>
          <w:szCs w:val="24"/>
        </w:rPr>
        <w:t>a</w:t>
      </w:r>
      <w:r w:rsidR="00D00B4B">
        <w:rPr>
          <w:rFonts w:cstheme="minorHAnsi"/>
          <w:sz w:val="24"/>
          <w:szCs w:val="24"/>
        </w:rPr>
        <w:t xml:space="preserve"> draft</w:t>
      </w:r>
      <w:r w:rsidR="00132B53" w:rsidRPr="00D00B4B">
        <w:rPr>
          <w:rFonts w:cstheme="minorHAnsi"/>
          <w:sz w:val="24"/>
          <w:szCs w:val="24"/>
        </w:rPr>
        <w:t xml:space="preserve"> West Yorkshire Police and Crime </w:t>
      </w:r>
      <w:r w:rsidR="003E1810" w:rsidRPr="00D00B4B">
        <w:rPr>
          <w:rFonts w:cstheme="minorHAnsi"/>
          <w:sz w:val="24"/>
          <w:szCs w:val="24"/>
        </w:rPr>
        <w:t>Panel</w:t>
      </w:r>
      <w:r w:rsidR="008453F0" w:rsidRPr="00D00B4B">
        <w:rPr>
          <w:rFonts w:cstheme="minorHAnsi"/>
          <w:sz w:val="24"/>
          <w:szCs w:val="24"/>
        </w:rPr>
        <w:t xml:space="preserve"> budget for 201</w:t>
      </w:r>
      <w:r w:rsidR="001E227D">
        <w:rPr>
          <w:rFonts w:cstheme="minorHAnsi"/>
          <w:sz w:val="24"/>
          <w:szCs w:val="24"/>
        </w:rPr>
        <w:t>8</w:t>
      </w:r>
      <w:r w:rsidR="0032351F">
        <w:rPr>
          <w:rFonts w:cstheme="minorHAnsi"/>
          <w:sz w:val="24"/>
          <w:szCs w:val="24"/>
        </w:rPr>
        <w:t>/</w:t>
      </w:r>
      <w:r w:rsidR="00412F11">
        <w:rPr>
          <w:rFonts w:cstheme="minorHAnsi"/>
          <w:sz w:val="24"/>
          <w:szCs w:val="24"/>
        </w:rPr>
        <w:t>1</w:t>
      </w:r>
      <w:r w:rsidR="001E227D">
        <w:rPr>
          <w:rFonts w:cstheme="minorHAnsi"/>
          <w:sz w:val="24"/>
          <w:szCs w:val="24"/>
        </w:rPr>
        <w:t>9</w:t>
      </w:r>
      <w:r w:rsidR="0032351F">
        <w:rPr>
          <w:rFonts w:cstheme="minorHAnsi"/>
          <w:sz w:val="24"/>
          <w:szCs w:val="24"/>
        </w:rPr>
        <w:t xml:space="preserve"> with no local authority contribution for 201</w:t>
      </w:r>
      <w:r w:rsidR="001E227D">
        <w:rPr>
          <w:rFonts w:cstheme="minorHAnsi"/>
          <w:sz w:val="24"/>
          <w:szCs w:val="24"/>
        </w:rPr>
        <w:t>8</w:t>
      </w:r>
      <w:r w:rsidR="0032351F">
        <w:rPr>
          <w:rFonts w:cstheme="minorHAnsi"/>
          <w:sz w:val="24"/>
          <w:szCs w:val="24"/>
        </w:rPr>
        <w:t>/1</w:t>
      </w:r>
      <w:r w:rsidR="001E227D">
        <w:rPr>
          <w:rFonts w:cstheme="minorHAnsi"/>
          <w:sz w:val="24"/>
          <w:szCs w:val="24"/>
        </w:rPr>
        <w:t>9</w:t>
      </w:r>
      <w:r w:rsidR="0032351F">
        <w:rPr>
          <w:rFonts w:cstheme="minorHAnsi"/>
          <w:sz w:val="24"/>
          <w:szCs w:val="24"/>
        </w:rPr>
        <w:t>.</w:t>
      </w:r>
    </w:p>
    <w:p w14:paraId="558B7C3B" w14:textId="77777777" w:rsidR="00EC2DD5" w:rsidRPr="003E1810" w:rsidRDefault="00EC2DD5" w:rsidP="00F55307">
      <w:pPr>
        <w:ind w:left="1418" w:hanging="709"/>
        <w:rPr>
          <w:rFonts w:cstheme="minorHAnsi"/>
          <w:sz w:val="24"/>
          <w:szCs w:val="24"/>
        </w:rPr>
      </w:pPr>
      <w:r w:rsidRPr="003E1810">
        <w:rPr>
          <w:rFonts w:cstheme="minorHAnsi"/>
          <w:sz w:val="24"/>
          <w:szCs w:val="24"/>
        </w:rPr>
        <w:br w:type="page"/>
      </w:r>
    </w:p>
    <w:p w14:paraId="558B7C3C" w14:textId="77777777" w:rsidR="00F55307" w:rsidRPr="001B52EC" w:rsidRDefault="004159F1" w:rsidP="001B52EC">
      <w:pPr>
        <w:jc w:val="right"/>
        <w:rPr>
          <w:b/>
          <w:sz w:val="24"/>
          <w:szCs w:val="24"/>
        </w:rPr>
      </w:pPr>
      <w:r w:rsidRPr="001B52EC">
        <w:rPr>
          <w:rFonts w:cstheme="minorHAnsi"/>
          <w:b/>
          <w:noProof/>
          <w:sz w:val="24"/>
          <w:szCs w:val="24"/>
          <w:lang w:eastAsia="en-GB"/>
        </w:rPr>
        <mc:AlternateContent>
          <mc:Choice Requires="wps">
            <w:drawing>
              <wp:anchor distT="0" distB="0" distL="114300" distR="114300" simplePos="0" relativeHeight="251664384" behindDoc="0" locked="0" layoutInCell="1" allowOverlap="1" wp14:anchorId="558B7CCE" wp14:editId="558B7CCF">
                <wp:simplePos x="0" y="0"/>
                <wp:positionH relativeFrom="column">
                  <wp:posOffset>4412615</wp:posOffset>
                </wp:positionH>
                <wp:positionV relativeFrom="paragraph">
                  <wp:posOffset>-523875</wp:posOffset>
                </wp:positionV>
                <wp:extent cx="1739265" cy="271780"/>
                <wp:effectExtent l="12065" t="9525" r="1079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71780"/>
                        </a:xfrm>
                        <a:prstGeom prst="rect">
                          <a:avLst/>
                        </a:prstGeom>
                        <a:solidFill>
                          <a:srgbClr val="FFFFFF"/>
                        </a:solidFill>
                        <a:ln w="9525">
                          <a:solidFill>
                            <a:srgbClr val="000000"/>
                          </a:solidFill>
                          <a:miter lim="800000"/>
                          <a:headEnd/>
                          <a:tailEnd/>
                        </a:ln>
                      </wps:spPr>
                      <wps:txbx>
                        <w:txbxContent>
                          <w:p w14:paraId="558B7CDC" w14:textId="77777777" w:rsidR="00952E79" w:rsidRPr="00F55307" w:rsidRDefault="00952E79">
                            <w:pPr>
                              <w:rPr>
                                <w:b/>
                              </w:rPr>
                            </w:pPr>
                            <w:r w:rsidRPr="00F55307">
                              <w:rPr>
                                <w:b/>
                              </w:rPr>
                              <w:t>Appendix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8B7CCE" id="Text Box 6" o:spid="_x0000_s1028" type="#_x0000_t202" style="position:absolute;left:0;text-align:left;margin-left:347.45pt;margin-top:-41.25pt;width:136.95pt;height:21.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">
                <v:textbox style="mso-fit-shape-to-text:t">
                  <w:txbxContent>
                    <w:p w14:paraId="558B7CDC" w14:textId="77777777" w:rsidR="00952E79" w:rsidRPr="00F55307" w:rsidRDefault="00952E79">
                      <w:pPr>
                        <w:rPr>
                          <w:b/>
                        </w:rPr>
                      </w:pPr>
                      <w:r w:rsidRPr="00F55307">
                        <w:rPr>
                          <w:b/>
                        </w:rPr>
                        <w:t>Appendix A</w:t>
                      </w:r>
                    </w:p>
                  </w:txbxContent>
                </v:textbox>
              </v:shape>
            </w:pict>
          </mc:Fallback>
        </mc:AlternateContent>
      </w:r>
      <w:r w:rsidR="001B52EC" w:rsidRPr="001B52EC">
        <w:rPr>
          <w:b/>
          <w:sz w:val="24"/>
          <w:szCs w:val="24"/>
        </w:rPr>
        <w:t>Appendix A</w:t>
      </w:r>
    </w:p>
    <w:p w14:paraId="558B7C3D" w14:textId="77777777" w:rsidR="001B52EC" w:rsidRDefault="001B52EC" w:rsidP="00465894">
      <w:pPr>
        <w:ind w:left="0" w:firstLine="0"/>
        <w:rPr>
          <w:rFonts w:ascii="Arial" w:eastAsia="Calibri" w:hAnsi="Arial" w:cs="Times New Roman"/>
          <w:b/>
          <w:sz w:val="28"/>
          <w:szCs w:val="28"/>
          <w:lang w:val="en-US"/>
        </w:rPr>
      </w:pPr>
    </w:p>
    <w:tbl>
      <w:tblPr>
        <w:tblStyle w:val="TableGrid"/>
        <w:tblW w:w="0" w:type="auto"/>
        <w:tblLook w:val="04A0" w:firstRow="1" w:lastRow="0" w:firstColumn="1" w:lastColumn="0" w:noHBand="0" w:noVBand="1"/>
      </w:tblPr>
      <w:tblGrid>
        <w:gridCol w:w="4508"/>
        <w:gridCol w:w="4508"/>
      </w:tblGrid>
      <w:tr w:rsidR="001E227D" w14:paraId="0404B524" w14:textId="77777777" w:rsidTr="00B1143F">
        <w:tc>
          <w:tcPr>
            <w:tcW w:w="4508" w:type="dxa"/>
          </w:tcPr>
          <w:p w14:paraId="2A7BD73C" w14:textId="77777777" w:rsidR="001E227D" w:rsidRDefault="001E227D" w:rsidP="00B1143F">
            <w:pPr>
              <w:rPr>
                <w:b/>
              </w:rPr>
            </w:pPr>
          </w:p>
          <w:p w14:paraId="6BFCDEDA" w14:textId="77777777" w:rsidR="001E227D" w:rsidRPr="006D4EBC" w:rsidRDefault="001E227D" w:rsidP="00B1143F">
            <w:pPr>
              <w:rPr>
                <w:b/>
              </w:rPr>
            </w:pPr>
            <w:r w:rsidRPr="006D4EBC">
              <w:rPr>
                <w:b/>
              </w:rPr>
              <w:t xml:space="preserve">Budget </w:t>
            </w:r>
            <w:r>
              <w:rPr>
                <w:b/>
              </w:rPr>
              <w:t>O</w:t>
            </w:r>
            <w:r w:rsidRPr="006D4EBC">
              <w:rPr>
                <w:b/>
              </w:rPr>
              <w:t>utcome for 2017/18</w:t>
            </w:r>
          </w:p>
          <w:p w14:paraId="5EFE4B07" w14:textId="77777777" w:rsidR="001E227D" w:rsidRDefault="001E227D" w:rsidP="00B1143F"/>
        </w:tc>
        <w:tc>
          <w:tcPr>
            <w:tcW w:w="4508" w:type="dxa"/>
          </w:tcPr>
          <w:p w14:paraId="5C9132DE" w14:textId="77777777" w:rsidR="001E227D" w:rsidRDefault="001E227D" w:rsidP="00B1143F"/>
          <w:p w14:paraId="49595AFF" w14:textId="77777777" w:rsidR="001E227D" w:rsidRPr="00FA3FD2" w:rsidRDefault="001E227D" w:rsidP="00B1143F">
            <w:pPr>
              <w:rPr>
                <w:b/>
              </w:rPr>
            </w:pPr>
            <w:r w:rsidRPr="00FA3FD2">
              <w:rPr>
                <w:b/>
              </w:rPr>
              <w:t>Draft Budget 2018/19</w:t>
            </w:r>
          </w:p>
        </w:tc>
      </w:tr>
      <w:tr w:rsidR="001E227D" w14:paraId="69D38D9F" w14:textId="77777777" w:rsidTr="00B1143F">
        <w:tc>
          <w:tcPr>
            <w:tcW w:w="4508" w:type="dxa"/>
          </w:tcPr>
          <w:p w14:paraId="43A5EB03" w14:textId="77777777" w:rsidR="001E227D" w:rsidRPr="006D4EBC" w:rsidRDefault="001E227D" w:rsidP="00B1143F">
            <w:pPr>
              <w:rPr>
                <w:u w:val="single"/>
              </w:rPr>
            </w:pPr>
            <w:r w:rsidRPr="006D4EBC">
              <w:rPr>
                <w:u w:val="single"/>
              </w:rPr>
              <w:t>Income</w:t>
            </w:r>
          </w:p>
          <w:p w14:paraId="4F35B020" w14:textId="77777777" w:rsidR="001E227D" w:rsidRDefault="001E227D" w:rsidP="00B1143F"/>
          <w:p w14:paraId="59B293E4" w14:textId="77777777" w:rsidR="001E227D" w:rsidRDefault="001E227D" w:rsidP="00B1143F">
            <w:r>
              <w:t>Home Office Grant</w:t>
            </w:r>
          </w:p>
          <w:p w14:paraId="32E06A9F" w14:textId="77777777" w:rsidR="001E227D" w:rsidRDefault="001E227D" w:rsidP="00B1143F">
            <w:r>
              <w:tab/>
            </w:r>
            <w:r>
              <w:tab/>
            </w:r>
            <w:r>
              <w:tab/>
              <w:t>1</w:t>
            </w:r>
            <w:r w:rsidRPr="006D4EBC">
              <w:rPr>
                <w:vertAlign w:val="superscript"/>
              </w:rPr>
              <w:t>st</w:t>
            </w:r>
            <w:r>
              <w:t xml:space="preserve"> claim</w:t>
            </w:r>
            <w:r>
              <w:tab/>
              <w:t>27,049</w:t>
            </w:r>
          </w:p>
          <w:p w14:paraId="6667129A" w14:textId="77777777" w:rsidR="001E227D" w:rsidRDefault="001E227D" w:rsidP="00B1143F">
            <w:r>
              <w:tab/>
            </w:r>
            <w:r>
              <w:tab/>
            </w:r>
            <w:r>
              <w:tab/>
              <w:t>2</w:t>
            </w:r>
            <w:r w:rsidRPr="006D4EBC">
              <w:rPr>
                <w:vertAlign w:val="superscript"/>
              </w:rPr>
              <w:t>nd</w:t>
            </w:r>
            <w:r>
              <w:t xml:space="preserve"> claim</w:t>
            </w:r>
            <w:r>
              <w:tab/>
              <w:t>36,002</w:t>
            </w:r>
          </w:p>
          <w:p w14:paraId="1B418AAB" w14:textId="77777777" w:rsidR="001E227D" w:rsidRDefault="001E227D" w:rsidP="00B1143F">
            <w:pPr>
              <w:rPr>
                <w:b/>
              </w:rPr>
            </w:pPr>
            <w:r>
              <w:rPr>
                <w:b/>
              </w:rPr>
              <w:t>Total Income</w:t>
            </w:r>
            <w:r>
              <w:rPr>
                <w:b/>
              </w:rPr>
              <w:tab/>
            </w:r>
            <w:r>
              <w:rPr>
                <w:b/>
              </w:rPr>
              <w:tab/>
            </w:r>
            <w:r>
              <w:rPr>
                <w:b/>
              </w:rPr>
              <w:tab/>
            </w:r>
            <w:r>
              <w:rPr>
                <w:b/>
              </w:rPr>
              <w:tab/>
              <w:t>63,051</w:t>
            </w:r>
          </w:p>
          <w:p w14:paraId="3C718B1A" w14:textId="77777777" w:rsidR="001E227D" w:rsidRPr="006D4EBC" w:rsidRDefault="001E227D" w:rsidP="00B1143F">
            <w:pPr>
              <w:tabs>
                <w:tab w:val="decimal" w:pos="3856"/>
              </w:tabs>
              <w:jc w:val="both"/>
              <w:rPr>
                <w:u w:val="single"/>
              </w:rPr>
            </w:pPr>
          </w:p>
        </w:tc>
        <w:tc>
          <w:tcPr>
            <w:tcW w:w="4508" w:type="dxa"/>
          </w:tcPr>
          <w:p w14:paraId="41C30F5A" w14:textId="77777777" w:rsidR="001E227D" w:rsidRDefault="00741A88" w:rsidP="00B1143F">
            <w:pPr>
              <w:rPr>
                <w:u w:val="single"/>
              </w:rPr>
            </w:pPr>
            <w:r w:rsidRPr="00741A88">
              <w:rPr>
                <w:u w:val="single"/>
              </w:rPr>
              <w:t>Income</w:t>
            </w:r>
          </w:p>
          <w:p w14:paraId="48CE918A" w14:textId="77777777" w:rsidR="00741A88" w:rsidRDefault="00741A88" w:rsidP="00741A88">
            <w:pPr>
              <w:rPr>
                <w:u w:val="single"/>
              </w:rPr>
            </w:pPr>
          </w:p>
          <w:p w14:paraId="37B231E7" w14:textId="77777777" w:rsidR="00741A88" w:rsidRDefault="00741A88" w:rsidP="00741A88">
            <w:r>
              <w:t>Home Office Grant</w:t>
            </w:r>
          </w:p>
          <w:p w14:paraId="5B5C03DC" w14:textId="77777777" w:rsidR="00741A88" w:rsidRDefault="00741A88" w:rsidP="00741A88"/>
          <w:p w14:paraId="740CF426" w14:textId="77777777" w:rsidR="00741A88" w:rsidRDefault="00741A88" w:rsidP="00741A88"/>
          <w:p w14:paraId="6AF23B23" w14:textId="4DA3CD49" w:rsidR="00741A88" w:rsidRPr="00741A88" w:rsidRDefault="00741A88" w:rsidP="00741A88">
            <w:pPr>
              <w:rPr>
                <w:b/>
              </w:rPr>
            </w:pPr>
            <w:r>
              <w:rPr>
                <w:b/>
              </w:rPr>
              <w:t>Total Income</w:t>
            </w:r>
            <w:r>
              <w:rPr>
                <w:b/>
              </w:rPr>
              <w:tab/>
            </w:r>
            <w:r>
              <w:rPr>
                <w:b/>
              </w:rPr>
              <w:tab/>
            </w:r>
            <w:r>
              <w:rPr>
                <w:b/>
              </w:rPr>
              <w:tab/>
            </w:r>
            <w:r>
              <w:rPr>
                <w:b/>
              </w:rPr>
              <w:tab/>
              <w:t>66,180</w:t>
            </w:r>
          </w:p>
        </w:tc>
      </w:tr>
      <w:tr w:rsidR="001E227D" w:rsidRPr="006D4EBC" w14:paraId="2DC11267" w14:textId="77777777" w:rsidTr="00B1143F">
        <w:trPr>
          <w:trHeight w:val="5908"/>
        </w:trPr>
        <w:tc>
          <w:tcPr>
            <w:tcW w:w="4508" w:type="dxa"/>
          </w:tcPr>
          <w:p w14:paraId="73ECF9C8" w14:textId="4A312B6E" w:rsidR="001E227D" w:rsidRPr="006D4EBC" w:rsidRDefault="001E227D" w:rsidP="00B1143F">
            <w:pPr>
              <w:rPr>
                <w:u w:val="single"/>
              </w:rPr>
            </w:pPr>
            <w:r w:rsidRPr="006D4EBC">
              <w:rPr>
                <w:u w:val="single"/>
              </w:rPr>
              <w:t>Expenditure</w:t>
            </w:r>
          </w:p>
          <w:p w14:paraId="65375282" w14:textId="77777777" w:rsidR="001E227D" w:rsidRDefault="001E227D" w:rsidP="00B1143F"/>
          <w:p w14:paraId="166531F3" w14:textId="77777777" w:rsidR="001E227D" w:rsidRDefault="001E227D" w:rsidP="00B1143F">
            <w:r>
              <w:t>Staffing costs</w:t>
            </w:r>
            <w:r>
              <w:tab/>
            </w:r>
            <w:r>
              <w:tab/>
            </w:r>
            <w:r>
              <w:tab/>
            </w:r>
            <w:r>
              <w:tab/>
              <w:t>25,441</w:t>
            </w:r>
          </w:p>
          <w:p w14:paraId="433A0042" w14:textId="77777777" w:rsidR="001E227D" w:rsidRDefault="001E227D" w:rsidP="00B1143F">
            <w:r>
              <w:t>Independent Allowances</w:t>
            </w:r>
            <w:r>
              <w:tab/>
            </w:r>
            <w:r>
              <w:tab/>
              <w:t>12,479</w:t>
            </w:r>
          </w:p>
          <w:p w14:paraId="2328BAAC" w14:textId="77777777" w:rsidR="001E227D" w:rsidRDefault="001E227D" w:rsidP="00B1143F">
            <w:r>
              <w:t>Office &amp; Meeting Expenses</w:t>
            </w:r>
            <w:r>
              <w:tab/>
            </w:r>
            <w:r>
              <w:tab/>
              <w:t xml:space="preserve">  6,933</w:t>
            </w:r>
          </w:p>
          <w:p w14:paraId="6C8E1207" w14:textId="77777777" w:rsidR="001E227D" w:rsidRPr="006D4EBC" w:rsidRDefault="001E227D" w:rsidP="00B1143F">
            <w:pPr>
              <w:rPr>
                <w:b/>
              </w:rPr>
            </w:pPr>
            <w:r>
              <w:tab/>
            </w:r>
            <w:r>
              <w:tab/>
            </w:r>
            <w:r>
              <w:rPr>
                <w:b/>
              </w:rPr>
              <w:t>Total</w:t>
            </w:r>
            <w:r>
              <w:rPr>
                <w:b/>
              </w:rPr>
              <w:tab/>
            </w:r>
            <w:r>
              <w:rPr>
                <w:b/>
              </w:rPr>
              <w:tab/>
            </w:r>
            <w:r>
              <w:rPr>
                <w:b/>
              </w:rPr>
              <w:tab/>
              <w:t>44,853</w:t>
            </w:r>
          </w:p>
          <w:p w14:paraId="21568391" w14:textId="77777777" w:rsidR="001E227D" w:rsidRDefault="001E227D" w:rsidP="00B1143F">
            <w:pPr>
              <w:rPr>
                <w:u w:val="single"/>
              </w:rPr>
            </w:pPr>
          </w:p>
          <w:p w14:paraId="0F02103F" w14:textId="77777777" w:rsidR="001E227D" w:rsidRDefault="001E227D" w:rsidP="00B1143F">
            <w:pPr>
              <w:rPr>
                <w:u w:val="single"/>
              </w:rPr>
            </w:pPr>
            <w:r>
              <w:rPr>
                <w:u w:val="single"/>
              </w:rPr>
              <w:t>Recharges (WMDC)</w:t>
            </w:r>
          </w:p>
          <w:p w14:paraId="5D35E7B3" w14:textId="77777777" w:rsidR="001E227D" w:rsidRDefault="001E227D" w:rsidP="00B1143F">
            <w:pPr>
              <w:rPr>
                <w:u w:val="single"/>
              </w:rPr>
            </w:pPr>
          </w:p>
          <w:p w14:paraId="78069B4F" w14:textId="77777777" w:rsidR="001E227D" w:rsidRDefault="001E227D" w:rsidP="00B1143F">
            <w:r>
              <w:t>Accommodation</w:t>
            </w:r>
            <w:r>
              <w:tab/>
            </w:r>
            <w:r>
              <w:tab/>
            </w:r>
            <w:r>
              <w:tab/>
              <w:t xml:space="preserve">  1,608</w:t>
            </w:r>
          </w:p>
          <w:p w14:paraId="30812B5F" w14:textId="77777777" w:rsidR="001E227D" w:rsidRDefault="001E227D" w:rsidP="00B1143F">
            <w:r>
              <w:t>HR, Finance &amp; IT support</w:t>
            </w:r>
            <w:r>
              <w:tab/>
            </w:r>
            <w:r>
              <w:tab/>
              <w:t xml:space="preserve">  4,940</w:t>
            </w:r>
          </w:p>
          <w:p w14:paraId="6669B726" w14:textId="77777777" w:rsidR="001E227D" w:rsidRDefault="001E227D" w:rsidP="00B1143F">
            <w:pPr>
              <w:rPr>
                <w:b/>
              </w:rPr>
            </w:pPr>
            <w:r>
              <w:tab/>
            </w:r>
            <w:r>
              <w:tab/>
            </w:r>
            <w:r>
              <w:rPr>
                <w:b/>
              </w:rPr>
              <w:t>Total</w:t>
            </w:r>
            <w:r>
              <w:rPr>
                <w:b/>
              </w:rPr>
              <w:tab/>
            </w:r>
            <w:r>
              <w:rPr>
                <w:b/>
              </w:rPr>
              <w:tab/>
            </w:r>
            <w:r>
              <w:rPr>
                <w:b/>
              </w:rPr>
              <w:tab/>
              <w:t xml:space="preserve">  6,548</w:t>
            </w:r>
          </w:p>
          <w:p w14:paraId="00A40C44" w14:textId="77777777" w:rsidR="001E227D" w:rsidRPr="006D4EBC" w:rsidRDefault="001E227D" w:rsidP="00B1143F">
            <w:pPr>
              <w:rPr>
                <w:b/>
              </w:rPr>
            </w:pPr>
          </w:p>
          <w:p w14:paraId="30774FEA" w14:textId="77777777" w:rsidR="001E227D" w:rsidRDefault="001E227D" w:rsidP="00B1143F">
            <w:r>
              <w:rPr>
                <w:u w:val="single"/>
              </w:rPr>
              <w:t>Indirect Costs (WMDC)</w:t>
            </w:r>
          </w:p>
          <w:p w14:paraId="6C419B39" w14:textId="77777777" w:rsidR="001E227D" w:rsidRDefault="001E227D" w:rsidP="00B1143F"/>
          <w:p w14:paraId="2BECCF89" w14:textId="77777777" w:rsidR="001E227D" w:rsidRDefault="001E227D" w:rsidP="00B1143F">
            <w:r>
              <w:t>Management</w:t>
            </w:r>
            <w:r>
              <w:tab/>
            </w:r>
            <w:r>
              <w:tab/>
            </w:r>
            <w:r>
              <w:tab/>
            </w:r>
            <w:r>
              <w:tab/>
              <w:t xml:space="preserve">  4,162</w:t>
            </w:r>
          </w:p>
          <w:p w14:paraId="36E27357" w14:textId="77777777" w:rsidR="001E227D" w:rsidRPr="006D4EBC" w:rsidRDefault="001E227D" w:rsidP="00B1143F">
            <w:r>
              <w:t>Legal Costs</w:t>
            </w:r>
            <w:r>
              <w:tab/>
            </w:r>
            <w:r>
              <w:tab/>
            </w:r>
            <w:r>
              <w:tab/>
            </w:r>
            <w:r>
              <w:tab/>
              <w:t xml:space="preserve">  7,488</w:t>
            </w:r>
          </w:p>
          <w:p w14:paraId="286FAFC4" w14:textId="77777777" w:rsidR="001E227D" w:rsidRDefault="001E227D" w:rsidP="00B1143F">
            <w:pPr>
              <w:rPr>
                <w:b/>
              </w:rPr>
            </w:pPr>
            <w:r>
              <w:tab/>
            </w:r>
            <w:r>
              <w:tab/>
            </w:r>
            <w:r w:rsidRPr="006D4EBC">
              <w:rPr>
                <w:b/>
              </w:rPr>
              <w:t>Total</w:t>
            </w:r>
            <w:r>
              <w:rPr>
                <w:b/>
              </w:rPr>
              <w:tab/>
            </w:r>
            <w:r>
              <w:rPr>
                <w:b/>
              </w:rPr>
              <w:tab/>
            </w:r>
            <w:r>
              <w:rPr>
                <w:b/>
              </w:rPr>
              <w:tab/>
              <w:t xml:space="preserve"> 11,650</w:t>
            </w:r>
          </w:p>
          <w:p w14:paraId="5FB6BFE7" w14:textId="77777777" w:rsidR="001E227D" w:rsidRDefault="001E227D" w:rsidP="00B1143F">
            <w:pPr>
              <w:rPr>
                <w:b/>
              </w:rPr>
            </w:pPr>
          </w:p>
          <w:p w14:paraId="00ECE89F" w14:textId="77777777" w:rsidR="001E227D" w:rsidRDefault="001E227D" w:rsidP="00B1143F">
            <w:pPr>
              <w:rPr>
                <w:b/>
              </w:rPr>
            </w:pPr>
            <w:r>
              <w:rPr>
                <w:b/>
              </w:rPr>
              <w:t>Total Expenditure</w:t>
            </w:r>
            <w:r>
              <w:rPr>
                <w:b/>
              </w:rPr>
              <w:tab/>
            </w:r>
            <w:r>
              <w:rPr>
                <w:b/>
              </w:rPr>
              <w:tab/>
            </w:r>
            <w:r>
              <w:rPr>
                <w:b/>
              </w:rPr>
              <w:tab/>
              <w:t xml:space="preserve"> 63,051</w:t>
            </w:r>
          </w:p>
          <w:p w14:paraId="1BA4DE3A" w14:textId="77777777" w:rsidR="001E227D" w:rsidRPr="006D4EBC" w:rsidRDefault="001E227D" w:rsidP="00B1143F"/>
        </w:tc>
        <w:tc>
          <w:tcPr>
            <w:tcW w:w="4508" w:type="dxa"/>
          </w:tcPr>
          <w:p w14:paraId="51EC6661" w14:textId="77777777" w:rsidR="001E227D" w:rsidRDefault="00741A88" w:rsidP="00B1143F">
            <w:r>
              <w:rPr>
                <w:u w:val="single"/>
              </w:rPr>
              <w:t>Expenditure</w:t>
            </w:r>
          </w:p>
          <w:p w14:paraId="7520841B" w14:textId="77777777" w:rsidR="00741A88" w:rsidRDefault="00741A88" w:rsidP="00B1143F"/>
          <w:p w14:paraId="68A050C1" w14:textId="77777777" w:rsidR="00741A88" w:rsidRDefault="00741A88" w:rsidP="00B1143F">
            <w:r>
              <w:t>Staffing costs</w:t>
            </w:r>
            <w:r>
              <w:tab/>
            </w:r>
            <w:r>
              <w:tab/>
            </w:r>
            <w:r>
              <w:tab/>
            </w:r>
            <w:r>
              <w:tab/>
              <w:t>26,000</w:t>
            </w:r>
          </w:p>
          <w:p w14:paraId="016505F2" w14:textId="6D42C7F8" w:rsidR="00741A88" w:rsidRDefault="00A975ED" w:rsidP="00B1143F">
            <w:r>
              <w:t>Independent Allowances</w:t>
            </w:r>
            <w:r>
              <w:tab/>
            </w:r>
            <w:r w:rsidR="00741A88">
              <w:tab/>
              <w:t>13,000</w:t>
            </w:r>
          </w:p>
          <w:p w14:paraId="6F61EA4E" w14:textId="77777777" w:rsidR="00741A88" w:rsidRDefault="00741A88" w:rsidP="00B1143F">
            <w:r>
              <w:t>Office &amp; Meeting Expenses</w:t>
            </w:r>
            <w:r>
              <w:tab/>
            </w:r>
            <w:r>
              <w:tab/>
              <w:t xml:space="preserve">  7,500</w:t>
            </w:r>
          </w:p>
          <w:p w14:paraId="6A0B5D60" w14:textId="77777777" w:rsidR="00741A88" w:rsidRDefault="00741A88" w:rsidP="00B1143F">
            <w:r>
              <w:tab/>
            </w:r>
            <w:r>
              <w:tab/>
            </w:r>
            <w:r>
              <w:rPr>
                <w:b/>
              </w:rPr>
              <w:t>Total</w:t>
            </w:r>
            <w:r>
              <w:rPr>
                <w:b/>
              </w:rPr>
              <w:tab/>
            </w:r>
            <w:r>
              <w:rPr>
                <w:b/>
              </w:rPr>
              <w:tab/>
            </w:r>
            <w:r>
              <w:rPr>
                <w:b/>
              </w:rPr>
              <w:tab/>
            </w:r>
            <w:r>
              <w:t>46,500</w:t>
            </w:r>
          </w:p>
          <w:p w14:paraId="0D6F56C5" w14:textId="77777777" w:rsidR="00741A88" w:rsidRDefault="00741A88" w:rsidP="00B1143F"/>
          <w:p w14:paraId="676196A1" w14:textId="77777777" w:rsidR="00741A88" w:rsidRDefault="00741A88" w:rsidP="00B1143F">
            <w:r>
              <w:rPr>
                <w:u w:val="single"/>
              </w:rPr>
              <w:t>Recharges (WMDC)</w:t>
            </w:r>
          </w:p>
          <w:p w14:paraId="25DC8A76" w14:textId="77777777" w:rsidR="00741A88" w:rsidRDefault="00741A88" w:rsidP="00B1143F"/>
          <w:p w14:paraId="609E09DE" w14:textId="77777777" w:rsidR="00741A88" w:rsidRDefault="00741A88" w:rsidP="00B1143F">
            <w:r>
              <w:t>Accommodation</w:t>
            </w:r>
            <w:r>
              <w:tab/>
            </w:r>
            <w:r>
              <w:tab/>
            </w:r>
            <w:r>
              <w:tab/>
              <w:t xml:space="preserve">  1,700</w:t>
            </w:r>
          </w:p>
          <w:p w14:paraId="2CDC0516" w14:textId="77777777" w:rsidR="00741A88" w:rsidRDefault="00741A88" w:rsidP="00B1143F">
            <w:r>
              <w:t>HR, Finance &amp; IT support</w:t>
            </w:r>
            <w:r>
              <w:tab/>
            </w:r>
            <w:r>
              <w:tab/>
              <w:t xml:space="preserve">  5,000</w:t>
            </w:r>
          </w:p>
          <w:p w14:paraId="17941AB3" w14:textId="77777777" w:rsidR="00741A88" w:rsidRDefault="00741A88" w:rsidP="00B1143F">
            <w:pPr>
              <w:rPr>
                <w:b/>
              </w:rPr>
            </w:pPr>
            <w:r>
              <w:tab/>
            </w:r>
            <w:r>
              <w:tab/>
            </w:r>
            <w:r>
              <w:rPr>
                <w:b/>
              </w:rPr>
              <w:t>Total</w:t>
            </w:r>
            <w:r>
              <w:rPr>
                <w:b/>
              </w:rPr>
              <w:tab/>
            </w:r>
            <w:r>
              <w:rPr>
                <w:b/>
              </w:rPr>
              <w:tab/>
            </w:r>
            <w:r>
              <w:rPr>
                <w:b/>
              </w:rPr>
              <w:tab/>
              <w:t xml:space="preserve">  6,700</w:t>
            </w:r>
          </w:p>
          <w:p w14:paraId="27D0FF53" w14:textId="77777777" w:rsidR="00741A88" w:rsidRDefault="00741A88" w:rsidP="00B1143F">
            <w:pPr>
              <w:rPr>
                <w:b/>
              </w:rPr>
            </w:pPr>
          </w:p>
          <w:p w14:paraId="15589462" w14:textId="77777777" w:rsidR="00741A88" w:rsidRDefault="00741A88" w:rsidP="00741A88">
            <w:r>
              <w:rPr>
                <w:u w:val="single"/>
              </w:rPr>
              <w:t>Indirect Cost (WMDC)</w:t>
            </w:r>
          </w:p>
          <w:p w14:paraId="02413744" w14:textId="77777777" w:rsidR="00741A88" w:rsidRDefault="00741A88" w:rsidP="00741A88"/>
          <w:p w14:paraId="5F5A68CF" w14:textId="11DF6601" w:rsidR="00741A88" w:rsidRDefault="00741A88" w:rsidP="00741A88">
            <w:r>
              <w:t>Management</w:t>
            </w:r>
            <w:r>
              <w:tab/>
            </w:r>
            <w:r>
              <w:tab/>
            </w:r>
            <w:r>
              <w:tab/>
            </w:r>
            <w:r>
              <w:tab/>
              <w:t xml:space="preserve">  4,500</w:t>
            </w:r>
          </w:p>
          <w:p w14:paraId="425901EA" w14:textId="52D42861" w:rsidR="00741A88" w:rsidRDefault="00741A88" w:rsidP="00741A88">
            <w:r>
              <w:t>Legal Costs</w:t>
            </w:r>
            <w:r>
              <w:tab/>
            </w:r>
            <w:r>
              <w:tab/>
            </w:r>
            <w:r>
              <w:tab/>
            </w:r>
            <w:r>
              <w:tab/>
            </w:r>
            <w:r w:rsidR="00A975ED">
              <w:t>12</w:t>
            </w:r>
            <w:r>
              <w:t>,</w:t>
            </w:r>
            <w:r w:rsidR="00A975ED">
              <w:t>5</w:t>
            </w:r>
            <w:r>
              <w:t>00</w:t>
            </w:r>
          </w:p>
          <w:p w14:paraId="34FF9F44" w14:textId="7FF0429A" w:rsidR="00741A88" w:rsidRDefault="00741A88" w:rsidP="00741A88">
            <w:pPr>
              <w:rPr>
                <w:b/>
              </w:rPr>
            </w:pPr>
            <w:r>
              <w:tab/>
            </w:r>
            <w:r>
              <w:tab/>
            </w:r>
            <w:r>
              <w:rPr>
                <w:b/>
              </w:rPr>
              <w:t>Total</w:t>
            </w:r>
            <w:r>
              <w:rPr>
                <w:b/>
              </w:rPr>
              <w:tab/>
            </w:r>
            <w:r>
              <w:rPr>
                <w:b/>
              </w:rPr>
              <w:tab/>
            </w:r>
            <w:r>
              <w:rPr>
                <w:b/>
              </w:rPr>
              <w:tab/>
            </w:r>
            <w:r w:rsidR="00A975ED">
              <w:rPr>
                <w:b/>
              </w:rPr>
              <w:t>17</w:t>
            </w:r>
            <w:r>
              <w:rPr>
                <w:b/>
              </w:rPr>
              <w:t>,</w:t>
            </w:r>
            <w:r w:rsidR="00A975ED">
              <w:rPr>
                <w:b/>
              </w:rPr>
              <w:t>0</w:t>
            </w:r>
            <w:r>
              <w:rPr>
                <w:b/>
              </w:rPr>
              <w:t>00</w:t>
            </w:r>
          </w:p>
          <w:p w14:paraId="52F68BF8" w14:textId="77777777" w:rsidR="00741A88" w:rsidRDefault="00741A88" w:rsidP="00741A88">
            <w:pPr>
              <w:rPr>
                <w:b/>
              </w:rPr>
            </w:pPr>
          </w:p>
          <w:p w14:paraId="1EEE0EF8" w14:textId="1E06052C" w:rsidR="00741A88" w:rsidRPr="00741A88" w:rsidRDefault="00741A88" w:rsidP="00A975ED">
            <w:pPr>
              <w:rPr>
                <w:b/>
              </w:rPr>
            </w:pPr>
            <w:r w:rsidRPr="00741A88">
              <w:rPr>
                <w:b/>
              </w:rPr>
              <w:t>Total Expenditure</w:t>
            </w:r>
            <w:r>
              <w:rPr>
                <w:b/>
              </w:rPr>
              <w:tab/>
            </w:r>
            <w:r>
              <w:rPr>
                <w:b/>
              </w:rPr>
              <w:tab/>
            </w:r>
            <w:r>
              <w:rPr>
                <w:b/>
              </w:rPr>
              <w:tab/>
            </w:r>
            <w:r w:rsidR="00A975ED">
              <w:rPr>
                <w:b/>
              </w:rPr>
              <w:t>70,200</w:t>
            </w:r>
          </w:p>
        </w:tc>
        <w:bookmarkStart w:id="0" w:name="_GoBack"/>
        <w:bookmarkEnd w:id="0"/>
      </w:tr>
      <w:tr w:rsidR="001E227D" w14:paraId="229C6C1E" w14:textId="77777777" w:rsidTr="00B1143F">
        <w:tc>
          <w:tcPr>
            <w:tcW w:w="4508" w:type="dxa"/>
          </w:tcPr>
          <w:p w14:paraId="62EBD47E" w14:textId="4D8DC620" w:rsidR="001E227D" w:rsidRDefault="001E227D" w:rsidP="00B1143F">
            <w:r>
              <w:t>Total Income</w:t>
            </w:r>
            <w:r>
              <w:tab/>
            </w:r>
            <w:r>
              <w:tab/>
            </w:r>
            <w:r>
              <w:tab/>
            </w:r>
            <w:r>
              <w:tab/>
              <w:t>63,051</w:t>
            </w:r>
          </w:p>
          <w:p w14:paraId="0C43CA85" w14:textId="77777777" w:rsidR="001E227D" w:rsidRDefault="001E227D" w:rsidP="00B1143F">
            <w:r>
              <w:t>Total Expenditure</w:t>
            </w:r>
            <w:r>
              <w:tab/>
            </w:r>
            <w:r>
              <w:tab/>
            </w:r>
            <w:r>
              <w:tab/>
            </w:r>
            <w:r w:rsidRPr="00A975ED">
              <w:rPr>
                <w:u w:val="single"/>
              </w:rPr>
              <w:t>63,051</w:t>
            </w:r>
          </w:p>
          <w:p w14:paraId="1FBCF8EE" w14:textId="7C6DB82F" w:rsidR="001E227D" w:rsidRDefault="00A975ED" w:rsidP="00B1143F">
            <w:r>
              <w:t>Balance</w:t>
            </w:r>
            <w:r>
              <w:tab/>
            </w:r>
            <w:r>
              <w:tab/>
            </w:r>
            <w:r>
              <w:tab/>
            </w:r>
            <w:r>
              <w:tab/>
            </w:r>
            <w:r>
              <w:tab/>
              <w:t xml:space="preserve">          0</w:t>
            </w:r>
          </w:p>
        </w:tc>
        <w:tc>
          <w:tcPr>
            <w:tcW w:w="4508" w:type="dxa"/>
          </w:tcPr>
          <w:p w14:paraId="47DDFBF1" w14:textId="77777777" w:rsidR="001E227D" w:rsidRDefault="00A975ED" w:rsidP="00B1143F">
            <w:r>
              <w:t>Total Income</w:t>
            </w:r>
            <w:r>
              <w:tab/>
            </w:r>
            <w:r>
              <w:tab/>
            </w:r>
            <w:r>
              <w:tab/>
            </w:r>
            <w:r>
              <w:tab/>
              <w:t>66,180</w:t>
            </w:r>
          </w:p>
          <w:p w14:paraId="08D56F01" w14:textId="77777777" w:rsidR="00A975ED" w:rsidRDefault="00A975ED" w:rsidP="00B1143F">
            <w:r>
              <w:t>Total Expenditure</w:t>
            </w:r>
            <w:r>
              <w:tab/>
            </w:r>
            <w:r>
              <w:tab/>
            </w:r>
            <w:r>
              <w:tab/>
            </w:r>
            <w:r w:rsidRPr="00A975ED">
              <w:rPr>
                <w:u w:val="single"/>
              </w:rPr>
              <w:t>70,200</w:t>
            </w:r>
          </w:p>
          <w:p w14:paraId="2FA6872C" w14:textId="4920924D" w:rsidR="00A975ED" w:rsidRDefault="00A975ED" w:rsidP="00B1143F">
            <w:r>
              <w:t xml:space="preserve">Balance </w:t>
            </w:r>
            <w:r>
              <w:tab/>
            </w:r>
            <w:r>
              <w:tab/>
            </w:r>
            <w:r>
              <w:tab/>
            </w:r>
            <w:r>
              <w:tab/>
              <w:t xml:space="preserve"> -4,020</w:t>
            </w:r>
          </w:p>
        </w:tc>
      </w:tr>
      <w:tr w:rsidR="001E227D" w14:paraId="5E1380AC" w14:textId="77777777" w:rsidTr="00B1143F">
        <w:tc>
          <w:tcPr>
            <w:tcW w:w="4508" w:type="dxa"/>
          </w:tcPr>
          <w:p w14:paraId="65EC7929" w14:textId="7F1029FD" w:rsidR="001E227D" w:rsidRDefault="001E227D" w:rsidP="00B1143F">
            <w:r>
              <w:t xml:space="preserve">Reserve Balance brought forward from </w:t>
            </w:r>
          </w:p>
          <w:p w14:paraId="3BF117ED" w14:textId="77777777" w:rsidR="001E227D" w:rsidRPr="0059758B" w:rsidRDefault="001E227D" w:rsidP="00B1143F">
            <w:r>
              <w:t>2017/18</w:t>
            </w:r>
            <w:r>
              <w:tab/>
            </w:r>
            <w:r>
              <w:tab/>
            </w:r>
            <w:r>
              <w:tab/>
            </w:r>
            <w:r>
              <w:tab/>
              <w:t>46,470</w:t>
            </w:r>
          </w:p>
        </w:tc>
        <w:tc>
          <w:tcPr>
            <w:tcW w:w="4508" w:type="dxa"/>
          </w:tcPr>
          <w:p w14:paraId="01996E91" w14:textId="0B0BD0B8" w:rsidR="001E227D" w:rsidRDefault="00A975ED" w:rsidP="00B1143F">
            <w:r>
              <w:t>Reserve Balance remaining</w:t>
            </w:r>
          </w:p>
          <w:p w14:paraId="2B2FA682" w14:textId="7E6886E4" w:rsidR="00A975ED" w:rsidRDefault="00A975ED" w:rsidP="00B1143F">
            <w:r>
              <w:tab/>
            </w:r>
            <w:r>
              <w:tab/>
            </w:r>
            <w:r>
              <w:tab/>
            </w:r>
            <w:r>
              <w:tab/>
            </w:r>
            <w:r>
              <w:tab/>
              <w:t>42,450</w:t>
            </w:r>
          </w:p>
        </w:tc>
      </w:tr>
      <w:tr w:rsidR="001E227D" w14:paraId="4D23E5DD" w14:textId="77777777" w:rsidTr="00B1143F">
        <w:tc>
          <w:tcPr>
            <w:tcW w:w="4508" w:type="dxa"/>
          </w:tcPr>
          <w:p w14:paraId="2D3C3036" w14:textId="763354F0" w:rsidR="001E227D" w:rsidRDefault="001E227D" w:rsidP="00B1143F"/>
        </w:tc>
        <w:tc>
          <w:tcPr>
            <w:tcW w:w="4508" w:type="dxa"/>
          </w:tcPr>
          <w:p w14:paraId="79124667" w14:textId="77777777" w:rsidR="001E227D" w:rsidRDefault="001E227D" w:rsidP="00B1143F"/>
        </w:tc>
      </w:tr>
    </w:tbl>
    <w:p w14:paraId="75362048" w14:textId="77777777" w:rsidR="001E227D" w:rsidRDefault="001E227D" w:rsidP="001E227D"/>
    <w:p w14:paraId="558B7C3E" w14:textId="77777777" w:rsidR="001B52EC" w:rsidRDefault="001B52EC" w:rsidP="00465894">
      <w:pPr>
        <w:ind w:left="0" w:firstLine="0"/>
        <w:rPr>
          <w:rFonts w:ascii="Arial" w:eastAsia="Calibri" w:hAnsi="Arial" w:cs="Times New Roman"/>
          <w:b/>
          <w:sz w:val="28"/>
          <w:szCs w:val="28"/>
          <w:lang w:val="en-US"/>
        </w:rPr>
      </w:pPr>
    </w:p>
    <w:sectPr w:rsidR="001B52EC" w:rsidSect="007F63E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B7CD2" w14:textId="77777777" w:rsidR="00952E79" w:rsidRDefault="00952E79" w:rsidP="00B01615">
      <w:r>
        <w:separator/>
      </w:r>
    </w:p>
  </w:endnote>
  <w:endnote w:type="continuationSeparator" w:id="0">
    <w:p w14:paraId="558B7CD3" w14:textId="77777777" w:rsidR="00952E79" w:rsidRDefault="00952E79" w:rsidP="00B0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770"/>
      <w:docPartObj>
        <w:docPartGallery w:val="Page Numbers (Bottom of Page)"/>
        <w:docPartUnique/>
      </w:docPartObj>
    </w:sdtPr>
    <w:sdtEndPr/>
    <w:sdtContent>
      <w:p w14:paraId="558B7CD4" w14:textId="77777777" w:rsidR="00952E79" w:rsidRDefault="00952E79">
        <w:pPr>
          <w:pStyle w:val="Footer"/>
          <w:jc w:val="center"/>
        </w:pPr>
        <w:r>
          <w:fldChar w:fldCharType="begin"/>
        </w:r>
        <w:r>
          <w:instrText xml:space="preserve"> PAGE   \* MERGEFORMAT </w:instrText>
        </w:r>
        <w:r>
          <w:fldChar w:fldCharType="separate"/>
        </w:r>
        <w:r w:rsidR="005F4111">
          <w:rPr>
            <w:noProof/>
          </w:rPr>
          <w:t>2</w:t>
        </w:r>
        <w:r>
          <w:rPr>
            <w:noProof/>
          </w:rPr>
          <w:fldChar w:fldCharType="end"/>
        </w:r>
      </w:p>
    </w:sdtContent>
  </w:sdt>
  <w:p w14:paraId="558B7CD5" w14:textId="77777777" w:rsidR="00952E79" w:rsidRDefault="0095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B7CD0" w14:textId="77777777" w:rsidR="00952E79" w:rsidRDefault="00952E79" w:rsidP="00B01615">
      <w:r>
        <w:separator/>
      </w:r>
    </w:p>
  </w:footnote>
  <w:footnote w:type="continuationSeparator" w:id="0">
    <w:p w14:paraId="558B7CD1" w14:textId="77777777" w:rsidR="00952E79" w:rsidRDefault="00952E79" w:rsidP="00B0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3009"/>
    <w:multiLevelType w:val="hybridMultilevel"/>
    <w:tmpl w:val="15D28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1509BF"/>
    <w:multiLevelType w:val="hybridMultilevel"/>
    <w:tmpl w:val="DE448E2A"/>
    <w:lvl w:ilvl="0" w:tplc="182823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A1776B"/>
    <w:multiLevelType w:val="multilevel"/>
    <w:tmpl w:val="4CD84E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3862D0"/>
    <w:multiLevelType w:val="hybridMultilevel"/>
    <w:tmpl w:val="3752D6CC"/>
    <w:lvl w:ilvl="0" w:tplc="A512358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F79AF"/>
    <w:multiLevelType w:val="multilevel"/>
    <w:tmpl w:val="B5923F6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4E"/>
    <w:rsid w:val="000249E1"/>
    <w:rsid w:val="00033BB5"/>
    <w:rsid w:val="000749E2"/>
    <w:rsid w:val="00075BFD"/>
    <w:rsid w:val="0008272B"/>
    <w:rsid w:val="0009268D"/>
    <w:rsid w:val="001324EC"/>
    <w:rsid w:val="00132B53"/>
    <w:rsid w:val="00151F4C"/>
    <w:rsid w:val="00167CCB"/>
    <w:rsid w:val="00183873"/>
    <w:rsid w:val="001B52EC"/>
    <w:rsid w:val="001C12B6"/>
    <w:rsid w:val="001C41D2"/>
    <w:rsid w:val="001E227D"/>
    <w:rsid w:val="0024501F"/>
    <w:rsid w:val="0024590F"/>
    <w:rsid w:val="0027387B"/>
    <w:rsid w:val="00280D7C"/>
    <w:rsid w:val="002F161C"/>
    <w:rsid w:val="002F1EF0"/>
    <w:rsid w:val="0032351F"/>
    <w:rsid w:val="0032390D"/>
    <w:rsid w:val="00355294"/>
    <w:rsid w:val="00370E8C"/>
    <w:rsid w:val="00392293"/>
    <w:rsid w:val="003D68A8"/>
    <w:rsid w:val="003E1810"/>
    <w:rsid w:val="00412F11"/>
    <w:rsid w:val="004159F1"/>
    <w:rsid w:val="00465894"/>
    <w:rsid w:val="004B6B2F"/>
    <w:rsid w:val="004D7244"/>
    <w:rsid w:val="00513742"/>
    <w:rsid w:val="005A0497"/>
    <w:rsid w:val="005B3338"/>
    <w:rsid w:val="005F36DF"/>
    <w:rsid w:val="005F4111"/>
    <w:rsid w:val="00607689"/>
    <w:rsid w:val="00610875"/>
    <w:rsid w:val="0061561C"/>
    <w:rsid w:val="00626D71"/>
    <w:rsid w:val="006B20BE"/>
    <w:rsid w:val="006B49CF"/>
    <w:rsid w:val="0072499A"/>
    <w:rsid w:val="007311B2"/>
    <w:rsid w:val="00741A88"/>
    <w:rsid w:val="00741DFD"/>
    <w:rsid w:val="007C146C"/>
    <w:rsid w:val="007F63E9"/>
    <w:rsid w:val="00820E4C"/>
    <w:rsid w:val="008453F0"/>
    <w:rsid w:val="00846D49"/>
    <w:rsid w:val="00853F82"/>
    <w:rsid w:val="00870D2C"/>
    <w:rsid w:val="00893C26"/>
    <w:rsid w:val="00896F68"/>
    <w:rsid w:val="008F6F2B"/>
    <w:rsid w:val="00952E79"/>
    <w:rsid w:val="009550CA"/>
    <w:rsid w:val="00957C5D"/>
    <w:rsid w:val="009A55A3"/>
    <w:rsid w:val="009F4B56"/>
    <w:rsid w:val="00A0612C"/>
    <w:rsid w:val="00A237EC"/>
    <w:rsid w:val="00A66C53"/>
    <w:rsid w:val="00A70B60"/>
    <w:rsid w:val="00A91A68"/>
    <w:rsid w:val="00A975ED"/>
    <w:rsid w:val="00AA29BE"/>
    <w:rsid w:val="00AA47BC"/>
    <w:rsid w:val="00B01615"/>
    <w:rsid w:val="00B57C49"/>
    <w:rsid w:val="00B64E03"/>
    <w:rsid w:val="00BD421A"/>
    <w:rsid w:val="00C1311E"/>
    <w:rsid w:val="00C47C6A"/>
    <w:rsid w:val="00C7042D"/>
    <w:rsid w:val="00C77B7B"/>
    <w:rsid w:val="00CA2103"/>
    <w:rsid w:val="00CA3146"/>
    <w:rsid w:val="00CE594E"/>
    <w:rsid w:val="00D00B4B"/>
    <w:rsid w:val="00D46590"/>
    <w:rsid w:val="00D551D9"/>
    <w:rsid w:val="00D61271"/>
    <w:rsid w:val="00D65D62"/>
    <w:rsid w:val="00D7660C"/>
    <w:rsid w:val="00DE6CA9"/>
    <w:rsid w:val="00DF7399"/>
    <w:rsid w:val="00E14AA2"/>
    <w:rsid w:val="00E27651"/>
    <w:rsid w:val="00E36A9B"/>
    <w:rsid w:val="00E5293B"/>
    <w:rsid w:val="00E61819"/>
    <w:rsid w:val="00EB0155"/>
    <w:rsid w:val="00EC2DD5"/>
    <w:rsid w:val="00EE04BF"/>
    <w:rsid w:val="00EE1854"/>
    <w:rsid w:val="00F13A3B"/>
    <w:rsid w:val="00F1749C"/>
    <w:rsid w:val="00F2080C"/>
    <w:rsid w:val="00F471E4"/>
    <w:rsid w:val="00F54ADA"/>
    <w:rsid w:val="00F55307"/>
    <w:rsid w:val="00F70CAB"/>
    <w:rsid w:val="00F71D36"/>
    <w:rsid w:val="00F90BFB"/>
    <w:rsid w:val="00FD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7BFB"/>
  <w15:docId w15:val="{A5B067E8-9F75-4826-BB5D-C7CD6A3D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 w:type="paragraph" w:styleId="BodyTextIndent2">
    <w:name w:val="Body Text Indent 2"/>
    <w:basedOn w:val="Normal"/>
    <w:link w:val="BodyTextIndent2Char"/>
    <w:uiPriority w:val="99"/>
    <w:semiHidden/>
    <w:unhideWhenUsed/>
    <w:rsid w:val="00132B53"/>
    <w:pPr>
      <w:spacing w:after="120" w:line="480" w:lineRule="auto"/>
      <w:ind w:left="283"/>
    </w:pPr>
  </w:style>
  <w:style w:type="character" w:customStyle="1" w:styleId="BodyTextIndent2Char">
    <w:name w:val="Body Text Indent 2 Char"/>
    <w:basedOn w:val="DefaultParagraphFont"/>
    <w:link w:val="BodyTextIndent2"/>
    <w:uiPriority w:val="99"/>
    <w:semiHidden/>
    <w:rsid w:val="00132B53"/>
  </w:style>
  <w:style w:type="table" w:styleId="TableGrid">
    <w:name w:val="Table Grid"/>
    <w:basedOn w:val="TableNormal"/>
    <w:uiPriority w:val="39"/>
    <w:rsid w:val="001E227D"/>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18251">
      <w:bodyDiv w:val="1"/>
      <w:marLeft w:val="0"/>
      <w:marRight w:val="0"/>
      <w:marTop w:val="0"/>
      <w:marBottom w:val="0"/>
      <w:divBdr>
        <w:top w:val="none" w:sz="0" w:space="0" w:color="auto"/>
        <w:left w:val="none" w:sz="0" w:space="0" w:color="auto"/>
        <w:bottom w:val="none" w:sz="0" w:space="0" w:color="auto"/>
        <w:right w:val="none" w:sz="0" w:space="0" w:color="auto"/>
      </w:divBdr>
      <w:divsChild>
        <w:div w:id="1613516573">
          <w:marLeft w:val="0"/>
          <w:marRight w:val="0"/>
          <w:marTop w:val="0"/>
          <w:marBottom w:val="0"/>
          <w:divBdr>
            <w:top w:val="none" w:sz="0" w:space="0" w:color="auto"/>
            <w:left w:val="none" w:sz="0" w:space="0" w:color="auto"/>
            <w:bottom w:val="none" w:sz="0" w:space="0" w:color="auto"/>
            <w:right w:val="none" w:sz="0" w:space="0" w:color="auto"/>
          </w:divBdr>
          <w:divsChild>
            <w:div w:id="1933468178">
              <w:marLeft w:val="0"/>
              <w:marRight w:val="0"/>
              <w:marTop w:val="0"/>
              <w:marBottom w:val="0"/>
              <w:divBdr>
                <w:top w:val="none" w:sz="0" w:space="0" w:color="auto"/>
                <w:left w:val="none" w:sz="0" w:space="0" w:color="auto"/>
                <w:bottom w:val="none" w:sz="0" w:space="0" w:color="auto"/>
                <w:right w:val="none" w:sz="0" w:space="0" w:color="auto"/>
              </w:divBdr>
              <w:divsChild>
                <w:div w:id="25520799">
                  <w:marLeft w:val="0"/>
                  <w:marRight w:val="0"/>
                  <w:marTop w:val="0"/>
                  <w:marBottom w:val="0"/>
                  <w:divBdr>
                    <w:top w:val="none" w:sz="0" w:space="0" w:color="auto"/>
                    <w:left w:val="none" w:sz="0" w:space="0" w:color="auto"/>
                    <w:bottom w:val="none" w:sz="0" w:space="0" w:color="auto"/>
                    <w:right w:val="none" w:sz="0" w:space="0" w:color="auto"/>
                  </w:divBdr>
                  <w:divsChild>
                    <w:div w:id="1200317217">
                      <w:marLeft w:val="0"/>
                      <w:marRight w:val="0"/>
                      <w:marTop w:val="0"/>
                      <w:marBottom w:val="0"/>
                      <w:divBdr>
                        <w:top w:val="none" w:sz="0" w:space="0" w:color="auto"/>
                        <w:left w:val="none" w:sz="0" w:space="0" w:color="auto"/>
                        <w:bottom w:val="none" w:sz="0" w:space="0" w:color="auto"/>
                        <w:right w:val="none" w:sz="0" w:space="0" w:color="auto"/>
                      </w:divBdr>
                      <w:divsChild>
                        <w:div w:id="609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3896">
      <w:bodyDiv w:val="1"/>
      <w:marLeft w:val="0"/>
      <w:marRight w:val="0"/>
      <w:marTop w:val="0"/>
      <w:marBottom w:val="0"/>
      <w:divBdr>
        <w:top w:val="none" w:sz="0" w:space="0" w:color="auto"/>
        <w:left w:val="none" w:sz="0" w:space="0" w:color="auto"/>
        <w:bottom w:val="none" w:sz="0" w:space="0" w:color="auto"/>
        <w:right w:val="none" w:sz="0" w:space="0" w:color="auto"/>
      </w:divBdr>
      <w:divsChild>
        <w:div w:id="161220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50E9C-D9CB-4D17-A20D-5578EF490373}"/>
</file>

<file path=customXml/itemProps2.xml><?xml version="1.0" encoding="utf-8"?>
<ds:datastoreItem xmlns:ds="http://schemas.openxmlformats.org/officeDocument/2006/customXml" ds:itemID="{9BA307B9-C56E-487C-9735-44C2587EB4D3}"/>
</file>

<file path=customXml/itemProps3.xml><?xml version="1.0" encoding="utf-8"?>
<ds:datastoreItem xmlns:ds="http://schemas.openxmlformats.org/officeDocument/2006/customXml" ds:itemID="{FEC3AA15-50C9-444F-8F15-B6B31C2CFB5F}"/>
</file>

<file path=customXml/itemProps4.xml><?xml version="1.0" encoding="utf-8"?>
<ds:datastoreItem xmlns:ds="http://schemas.openxmlformats.org/officeDocument/2006/customXml" ds:itemID="{F4150E9C-D9CB-4D17-A20D-5578EF490373}">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3bc4ffac-db66-4629-a2a4-198b68680464"/>
  </ds:schemaRefs>
</ds:datastoreItem>
</file>

<file path=customXml/itemProps5.xml><?xml version="1.0" encoding="utf-8"?>
<ds:datastoreItem xmlns:ds="http://schemas.openxmlformats.org/officeDocument/2006/customXml" ds:itemID="{5B7B2DE2-00F5-477B-82CC-E7EF9452B093}"/>
</file>

<file path=docProps/app.xml><?xml version="1.0" encoding="utf-8"?>
<Properties xmlns="http://schemas.openxmlformats.org/officeDocument/2006/extended-properties" xmlns:vt="http://schemas.openxmlformats.org/officeDocument/2006/docPropsVTypes">
  <Template>Normal</Template>
  <TotalTime>55</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Panel Budget 18-19</dc:title>
  <dc:creator>Wilkinson, Samantha</dc:creator>
  <cp:lastModifiedBy>Wilkinson, Samantha</cp:lastModifiedBy>
  <cp:revision>5</cp:revision>
  <cp:lastPrinted>2018-06-04T13:45:00Z</cp:lastPrinted>
  <dcterms:created xsi:type="dcterms:W3CDTF">2018-05-30T13:45:00Z</dcterms:created>
  <dcterms:modified xsi:type="dcterms:W3CDTF">2018-06-04T14:15:00Z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