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46331B" w:rsidRDefault="0046331B" w:rsidP="006C1DA1">
                            <w:pPr>
                              <w:rPr>
                                <w:b/>
                              </w:rPr>
                            </w:pPr>
                            <w:r>
                              <w:rPr>
                                <w:b/>
                              </w:rPr>
                              <w:t>Jonathan Skinner</w:t>
                            </w:r>
                          </w:p>
                          <w:p w:rsidR="0046331B" w:rsidRDefault="0046331B" w:rsidP="006C1DA1">
                            <w:pPr>
                              <w:rPr>
                                <w:b/>
                              </w:rPr>
                            </w:pPr>
                            <w:r>
                              <w:rPr>
                                <w:b/>
                              </w:rPr>
                              <w:t>AWYA</w:t>
                            </w:r>
                          </w:p>
                          <w:p w:rsidR="0046331B" w:rsidRDefault="0046331B" w:rsidP="006C1DA1">
                            <w:pPr>
                              <w:rPr>
                                <w:b/>
                              </w:rPr>
                            </w:pPr>
                            <w:r>
                              <w:rPr>
                                <w:b/>
                              </w:rPr>
                              <w:t>01924 305191</w:t>
                            </w:r>
                          </w:p>
                          <w:p w:rsidR="0046331B" w:rsidRDefault="004633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8C4D51" w:rsidRDefault="008C4D51" w:rsidP="006C1DA1">
                      <w:pPr>
                        <w:rPr>
                          <w:b/>
                        </w:rPr>
                      </w:pPr>
                      <w:r>
                        <w:rPr>
                          <w:b/>
                        </w:rPr>
                        <w:t>Jonathan Skinner</w:t>
                      </w:r>
                    </w:p>
                    <w:p w:rsidR="008C4D51" w:rsidRDefault="008C4D51" w:rsidP="006C1DA1">
                      <w:pPr>
                        <w:rPr>
                          <w:b/>
                        </w:rPr>
                      </w:pPr>
                      <w:r>
                        <w:rPr>
                          <w:b/>
                        </w:rPr>
                        <w:t>AWYA</w:t>
                      </w:r>
                    </w:p>
                    <w:p w:rsidR="008C4D51" w:rsidRDefault="008C4D51" w:rsidP="006C1DA1">
                      <w:pPr>
                        <w:rPr>
                          <w:b/>
                        </w:rPr>
                      </w:pPr>
                      <w:r>
                        <w:rPr>
                          <w:b/>
                        </w:rPr>
                        <w:t>01924 305191</w:t>
                      </w:r>
                    </w:p>
                    <w:p w:rsidR="008C4D51" w:rsidRDefault="008C4D51"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46331B" w:rsidRDefault="0046331B" w:rsidP="006C1DA1">
                            <w:pPr>
                              <w:jc w:val="center"/>
                              <w:rPr>
                                <w:b/>
                                <w:sz w:val="28"/>
                                <w:szCs w:val="28"/>
                              </w:rPr>
                            </w:pPr>
                            <w:r>
                              <w:rPr>
                                <w:b/>
                                <w:sz w:val="28"/>
                                <w:szCs w:val="28"/>
                              </w:rPr>
                              <w:t>Item 9</w:t>
                            </w:r>
                          </w:p>
                          <w:p w:rsidR="0046331B" w:rsidRDefault="0046331B" w:rsidP="006C1DA1">
                            <w:pPr>
                              <w:rPr>
                                <w:b/>
                                <w:sz w:val="28"/>
                                <w:szCs w:val="28"/>
                              </w:rPr>
                            </w:pPr>
                          </w:p>
                          <w:p w:rsidR="0046331B" w:rsidRDefault="004633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46331B" w:rsidRDefault="0046331B" w:rsidP="006C1DA1">
                      <w:pPr>
                        <w:jc w:val="center"/>
                        <w:rPr>
                          <w:b/>
                          <w:sz w:val="28"/>
                          <w:szCs w:val="28"/>
                        </w:rPr>
                      </w:pPr>
                      <w:r>
                        <w:rPr>
                          <w:b/>
                          <w:sz w:val="28"/>
                          <w:szCs w:val="28"/>
                        </w:rPr>
                        <w:t>Item 9</w:t>
                      </w:r>
                    </w:p>
                    <w:p w:rsidR="0046331B" w:rsidRDefault="0046331B" w:rsidP="006C1DA1">
                      <w:pPr>
                        <w:rPr>
                          <w:b/>
                          <w:sz w:val="28"/>
                          <w:szCs w:val="28"/>
                        </w:rPr>
                      </w:pPr>
                    </w:p>
                    <w:p w:rsidR="0046331B" w:rsidRDefault="0046331B" w:rsidP="006C1DA1"/>
                  </w:txbxContent>
                </v:textbox>
              </v:shape>
            </w:pict>
          </mc:Fallback>
        </mc:AlternateContent>
      </w:r>
      <w:r>
        <w:rPr>
          <w:b/>
          <w:sz w:val="28"/>
          <w:szCs w:val="28"/>
        </w:rPr>
        <w:t>Friday</w:t>
      </w:r>
      <w:r w:rsidR="008437F7">
        <w:rPr>
          <w:b/>
          <w:sz w:val="28"/>
          <w:szCs w:val="28"/>
        </w:rPr>
        <w:t xml:space="preserve"> </w:t>
      </w:r>
      <w:r w:rsidR="000260BB">
        <w:rPr>
          <w:b/>
          <w:sz w:val="28"/>
          <w:szCs w:val="28"/>
        </w:rPr>
        <w:t>March 7</w:t>
      </w:r>
      <w:r w:rsidR="005311C1" w:rsidRPr="005311C1">
        <w:rPr>
          <w:b/>
          <w:sz w:val="28"/>
          <w:szCs w:val="28"/>
          <w:vertAlign w:val="superscript"/>
        </w:rPr>
        <w:t>th</w:t>
      </w:r>
      <w:r w:rsidR="000260BB">
        <w:rPr>
          <w:b/>
          <w:sz w:val="28"/>
          <w:szCs w:val="28"/>
        </w:rPr>
        <w:t>, 2014</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0260BB" w:rsidP="006C1DA1">
      <w:pPr>
        <w:ind w:firstLine="720"/>
        <w:rPr>
          <w:b/>
          <w:color w:val="000000" w:themeColor="text1"/>
          <w:sz w:val="28"/>
          <w:szCs w:val="28"/>
        </w:rPr>
      </w:pPr>
      <w:r>
        <w:rPr>
          <w:b/>
          <w:color w:val="000000" w:themeColor="text1"/>
          <w:sz w:val="28"/>
          <w:szCs w:val="28"/>
        </w:rPr>
        <w:t>Wakefield Suite</w:t>
      </w:r>
      <w:r w:rsidR="005311C1">
        <w:rPr>
          <w:b/>
          <w:color w:val="000000" w:themeColor="text1"/>
          <w:sz w:val="28"/>
          <w:szCs w:val="28"/>
        </w:rPr>
        <w:t>, Wakefield</w:t>
      </w:r>
      <w:r>
        <w:rPr>
          <w:b/>
          <w:color w:val="000000" w:themeColor="text1"/>
          <w:sz w:val="28"/>
          <w:szCs w:val="28"/>
        </w:rPr>
        <w:t xml:space="preserve"> One</w:t>
      </w:r>
      <w:r w:rsidR="006C1DA1" w:rsidRPr="00FB2BAD">
        <w:rPr>
          <w:b/>
          <w:color w:val="000000" w:themeColor="text1"/>
          <w:sz w:val="28"/>
          <w:szCs w:val="28"/>
        </w:rPr>
        <w:t xml:space="preserve"> </w:t>
      </w:r>
    </w:p>
    <w:p w:rsidR="006C1DA1" w:rsidRDefault="006C1DA1" w:rsidP="006C1DA1">
      <w:pPr>
        <w:rPr>
          <w:b/>
        </w:rPr>
      </w:pPr>
    </w:p>
    <w:p w:rsidR="006C1DA1" w:rsidRDefault="00E14C5E" w:rsidP="00F27EE2">
      <w:pPr>
        <w:ind w:left="2535"/>
        <w:rPr>
          <w:b/>
          <w:sz w:val="28"/>
          <w:szCs w:val="28"/>
        </w:rPr>
      </w:pPr>
      <w:r>
        <w:rPr>
          <w:b/>
          <w:sz w:val="28"/>
          <w:szCs w:val="28"/>
        </w:rPr>
        <w:t>Local Perspectives</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Pr="00D77FBB" w:rsidRDefault="00AA01B6">
      <w:pPr>
        <w:rPr>
          <w:b/>
          <w:sz w:val="16"/>
          <w:szCs w:val="24"/>
        </w:rPr>
      </w:pPr>
    </w:p>
    <w:p w:rsidR="00235E77" w:rsidRDefault="00AA01B6" w:rsidP="00715CD8">
      <w:pPr>
        <w:pStyle w:val="ListParagraph"/>
        <w:numPr>
          <w:ilvl w:val="1"/>
          <w:numId w:val="13"/>
        </w:numPr>
        <w:ind w:left="709" w:hanging="709"/>
        <w:rPr>
          <w:sz w:val="24"/>
          <w:szCs w:val="24"/>
        </w:rPr>
      </w:pPr>
      <w:r w:rsidRPr="00715CD8">
        <w:rPr>
          <w:sz w:val="24"/>
          <w:szCs w:val="24"/>
        </w:rPr>
        <w:t>The purpose of this report is to</w:t>
      </w:r>
      <w:r w:rsidR="00FC16E4" w:rsidRPr="00715CD8">
        <w:rPr>
          <w:sz w:val="24"/>
          <w:szCs w:val="24"/>
        </w:rPr>
        <w:t xml:space="preserve"> inform</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E14C5E">
        <w:rPr>
          <w:sz w:val="24"/>
          <w:szCs w:val="24"/>
        </w:rPr>
        <w:t>of the work and views of the district Community Safety Partnerships and Crime and Disorder Scrutiny Committees</w:t>
      </w:r>
      <w:r w:rsidR="00FC16E4" w:rsidRPr="00715CD8">
        <w:rPr>
          <w:sz w:val="24"/>
          <w:szCs w:val="24"/>
        </w:rPr>
        <w:t xml:space="preserve">.  </w:t>
      </w:r>
      <w:r w:rsidR="00C7190E" w:rsidRPr="00715CD8">
        <w:rPr>
          <w:sz w:val="24"/>
          <w:szCs w:val="24"/>
        </w:rPr>
        <w:t xml:space="preserve"> </w:t>
      </w:r>
      <w:r w:rsidR="00E14C5E">
        <w:rPr>
          <w:sz w:val="24"/>
          <w:szCs w:val="24"/>
        </w:rPr>
        <w:t xml:space="preserve">Updates have been received from </w:t>
      </w:r>
      <w:r w:rsidR="006304AF">
        <w:rPr>
          <w:sz w:val="24"/>
          <w:szCs w:val="24"/>
        </w:rPr>
        <w:t>seven of the</w:t>
      </w:r>
      <w:r w:rsidR="00E14C5E">
        <w:rPr>
          <w:sz w:val="24"/>
          <w:szCs w:val="24"/>
        </w:rPr>
        <w:t xml:space="preserve"> Community Safety Partnerships </w:t>
      </w:r>
      <w:r w:rsidR="006304AF">
        <w:rPr>
          <w:sz w:val="24"/>
          <w:szCs w:val="24"/>
        </w:rPr>
        <w:t xml:space="preserve">and Scrutiny Committees in </w:t>
      </w:r>
      <w:r w:rsidR="00E14C5E">
        <w:rPr>
          <w:sz w:val="24"/>
          <w:szCs w:val="24"/>
        </w:rPr>
        <w:t>accordance with the protocols agreed between the Police a</w:t>
      </w:r>
      <w:r w:rsidR="00161C40">
        <w:rPr>
          <w:sz w:val="24"/>
          <w:szCs w:val="24"/>
        </w:rPr>
        <w:t>nd Crime Panel</w:t>
      </w:r>
      <w:r w:rsidR="00E14C5E">
        <w:rPr>
          <w:sz w:val="24"/>
          <w:szCs w:val="24"/>
        </w:rPr>
        <w:t xml:space="preserve"> and the local bodies. </w:t>
      </w:r>
    </w:p>
    <w:p w:rsidR="00715CD8" w:rsidRPr="00D77FBB" w:rsidRDefault="00715CD8" w:rsidP="00715CD8">
      <w:pPr>
        <w:pStyle w:val="ListParagraph"/>
        <w:ind w:left="709"/>
        <w:rPr>
          <w:sz w:val="18"/>
          <w:szCs w:val="24"/>
        </w:rPr>
      </w:pPr>
    </w:p>
    <w:p w:rsidR="00715CD8" w:rsidRPr="00715CD8"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note</w:t>
      </w:r>
      <w:r w:rsidR="00161C40">
        <w:rPr>
          <w:sz w:val="24"/>
          <w:szCs w:val="24"/>
        </w:rPr>
        <w:t>s</w:t>
      </w:r>
      <w:r>
        <w:rPr>
          <w:sz w:val="24"/>
          <w:szCs w:val="24"/>
        </w:rPr>
        <w:t xml:space="preserve"> th</w:t>
      </w:r>
      <w:r w:rsidR="00E14C5E">
        <w:rPr>
          <w:sz w:val="24"/>
          <w:szCs w:val="24"/>
        </w:rPr>
        <w:t>e common trends and views highlighted in the report</w:t>
      </w:r>
      <w:r w:rsidR="00B40621">
        <w:rPr>
          <w:sz w:val="24"/>
          <w:szCs w:val="24"/>
        </w:rPr>
        <w:t xml:space="preserve">.  </w:t>
      </w:r>
      <w:r w:rsidR="00E14C5E">
        <w:rPr>
          <w:sz w:val="24"/>
          <w:szCs w:val="24"/>
        </w:rPr>
        <w:t xml:space="preserve">Suggestions for future work </w:t>
      </w:r>
      <w:r w:rsidR="00F358E7">
        <w:rPr>
          <w:sz w:val="24"/>
          <w:szCs w:val="24"/>
        </w:rPr>
        <w:t>may</w:t>
      </w:r>
      <w:r w:rsidR="00E14C5E">
        <w:rPr>
          <w:sz w:val="24"/>
          <w:szCs w:val="24"/>
        </w:rPr>
        <w:t xml:space="preserve"> be included in the Panel’s </w:t>
      </w:r>
      <w:r w:rsidR="006304AF">
        <w:rPr>
          <w:sz w:val="24"/>
          <w:szCs w:val="24"/>
        </w:rPr>
        <w:t xml:space="preserve">forward plan </w:t>
      </w:r>
      <w:r w:rsidR="00E14C5E">
        <w:rPr>
          <w:sz w:val="24"/>
          <w:szCs w:val="24"/>
        </w:rPr>
        <w:t xml:space="preserve">and members may </w:t>
      </w:r>
      <w:r w:rsidR="00F358E7">
        <w:rPr>
          <w:sz w:val="24"/>
          <w:szCs w:val="24"/>
        </w:rPr>
        <w:t xml:space="preserve">also wish </w:t>
      </w:r>
      <w:r w:rsidR="00161C40">
        <w:rPr>
          <w:sz w:val="24"/>
          <w:szCs w:val="24"/>
        </w:rPr>
        <w:t xml:space="preserve">to raise </w:t>
      </w:r>
      <w:r w:rsidR="00E14C5E">
        <w:rPr>
          <w:sz w:val="24"/>
          <w:szCs w:val="24"/>
        </w:rPr>
        <w:t xml:space="preserve">issues with the </w:t>
      </w:r>
      <w:r w:rsidR="006304AF">
        <w:rPr>
          <w:sz w:val="24"/>
          <w:szCs w:val="24"/>
        </w:rPr>
        <w:t xml:space="preserve">Police and Crime </w:t>
      </w:r>
      <w:r w:rsidR="00E14C5E">
        <w:rPr>
          <w:sz w:val="24"/>
          <w:szCs w:val="24"/>
        </w:rPr>
        <w:t xml:space="preserve">Commissioner. </w:t>
      </w:r>
      <w:r w:rsidR="00B40621">
        <w:rPr>
          <w:sz w:val="24"/>
          <w:szCs w:val="24"/>
        </w:rPr>
        <w:t xml:space="preserve"> </w:t>
      </w:r>
    </w:p>
    <w:p w:rsidR="000D3158" w:rsidRDefault="001F35E6">
      <w:pPr>
        <w:rPr>
          <w:sz w:val="24"/>
          <w:szCs w:val="24"/>
        </w:rPr>
      </w:pPr>
      <w:r>
        <w:rPr>
          <w:sz w:val="24"/>
          <w:szCs w:val="24"/>
        </w:rPr>
        <w:t xml:space="preserve"> </w:t>
      </w:r>
    </w:p>
    <w:p w:rsidR="00AA01B6" w:rsidRDefault="00715CD8">
      <w:pPr>
        <w:rPr>
          <w:b/>
          <w:sz w:val="24"/>
          <w:szCs w:val="24"/>
        </w:rPr>
      </w:pPr>
      <w:r>
        <w:rPr>
          <w:b/>
          <w:sz w:val="24"/>
          <w:szCs w:val="24"/>
        </w:rPr>
        <w:t>2.</w:t>
      </w:r>
      <w:r>
        <w:rPr>
          <w:b/>
          <w:sz w:val="24"/>
          <w:szCs w:val="24"/>
        </w:rPr>
        <w:tab/>
      </w:r>
      <w:r w:rsidR="00E14C5E">
        <w:rPr>
          <w:b/>
          <w:sz w:val="24"/>
          <w:szCs w:val="24"/>
        </w:rPr>
        <w:t>Views from Community Safety Partnerships</w:t>
      </w:r>
    </w:p>
    <w:p w:rsidR="00B94254" w:rsidRPr="00716AA6" w:rsidRDefault="00B94254">
      <w:pPr>
        <w:rPr>
          <w:b/>
          <w:sz w:val="18"/>
          <w:szCs w:val="24"/>
        </w:rPr>
      </w:pPr>
    </w:p>
    <w:p w:rsidR="00B94254" w:rsidRDefault="00B94254" w:rsidP="00F16194">
      <w:pPr>
        <w:ind w:left="720" w:hanging="720"/>
        <w:rPr>
          <w:sz w:val="24"/>
          <w:szCs w:val="24"/>
        </w:rPr>
      </w:pPr>
      <w:r>
        <w:rPr>
          <w:sz w:val="24"/>
          <w:szCs w:val="24"/>
        </w:rPr>
        <w:t>2.1</w:t>
      </w:r>
      <w:r>
        <w:rPr>
          <w:sz w:val="24"/>
          <w:szCs w:val="24"/>
        </w:rPr>
        <w:tab/>
      </w:r>
      <w:r w:rsidR="00F16194">
        <w:rPr>
          <w:sz w:val="24"/>
          <w:szCs w:val="24"/>
        </w:rPr>
        <w:t xml:space="preserve">Responses were received from four district Community Safety Partnerships (Bradford, </w:t>
      </w:r>
      <w:r w:rsidR="00F7055F">
        <w:rPr>
          <w:sz w:val="24"/>
          <w:szCs w:val="24"/>
        </w:rPr>
        <w:t>Calderdale</w:t>
      </w:r>
      <w:r w:rsidR="00F16194">
        <w:rPr>
          <w:sz w:val="24"/>
          <w:szCs w:val="24"/>
        </w:rPr>
        <w:t>, Leeds and Wakefield).</w:t>
      </w:r>
    </w:p>
    <w:p w:rsidR="00F16194" w:rsidRPr="00716AA6" w:rsidRDefault="00F16194" w:rsidP="00F16194">
      <w:pPr>
        <w:ind w:left="720" w:hanging="720"/>
        <w:rPr>
          <w:sz w:val="18"/>
          <w:szCs w:val="24"/>
        </w:rPr>
      </w:pPr>
    </w:p>
    <w:p w:rsidR="00AE5678" w:rsidRDefault="00F16194" w:rsidP="00AE5678">
      <w:pPr>
        <w:ind w:left="720" w:hanging="720"/>
        <w:rPr>
          <w:sz w:val="24"/>
          <w:szCs w:val="24"/>
        </w:rPr>
      </w:pPr>
      <w:r>
        <w:rPr>
          <w:sz w:val="24"/>
          <w:szCs w:val="24"/>
        </w:rPr>
        <w:t>2.2</w:t>
      </w:r>
      <w:r>
        <w:rPr>
          <w:sz w:val="24"/>
          <w:szCs w:val="24"/>
        </w:rPr>
        <w:tab/>
        <w:t>Partnerships re</w:t>
      </w:r>
      <w:r w:rsidR="00EC0E51">
        <w:rPr>
          <w:sz w:val="24"/>
          <w:szCs w:val="24"/>
        </w:rPr>
        <w:t xml:space="preserve">iterated their feeling that </w:t>
      </w:r>
      <w:r w:rsidR="003C4E10">
        <w:rPr>
          <w:sz w:val="24"/>
          <w:szCs w:val="24"/>
        </w:rPr>
        <w:t>local priorities were incorporated into the West Yorkshi</w:t>
      </w:r>
      <w:r w:rsidR="00AE5678">
        <w:rPr>
          <w:sz w:val="24"/>
          <w:szCs w:val="24"/>
        </w:rPr>
        <w:t xml:space="preserve">re Police and Crime Plan and that there was strong evidence that parties had ‘given regard to’ each other’s priorities. </w:t>
      </w:r>
      <w:r w:rsidR="00F7055F">
        <w:rPr>
          <w:sz w:val="24"/>
          <w:szCs w:val="24"/>
        </w:rPr>
        <w:t xml:space="preserve"> Specifically, Wakefield is revising its local Community Safety Plan and both the CSP and Scrutiny Committee feel that it is aligned with the priorities in the Police and Crime Plan. </w:t>
      </w:r>
    </w:p>
    <w:p w:rsidR="00AE5678" w:rsidRPr="00714DDC" w:rsidRDefault="00AE5678" w:rsidP="00F16194">
      <w:pPr>
        <w:ind w:left="720" w:hanging="720"/>
        <w:rPr>
          <w:sz w:val="18"/>
          <w:szCs w:val="24"/>
        </w:rPr>
      </w:pPr>
    </w:p>
    <w:p w:rsidR="00F7055F" w:rsidRDefault="00AE5678" w:rsidP="00742A7E">
      <w:pPr>
        <w:ind w:left="720" w:hanging="720"/>
        <w:rPr>
          <w:sz w:val="24"/>
          <w:szCs w:val="24"/>
        </w:rPr>
      </w:pPr>
      <w:r>
        <w:rPr>
          <w:sz w:val="24"/>
          <w:szCs w:val="24"/>
        </w:rPr>
        <w:t>2.3</w:t>
      </w:r>
      <w:r>
        <w:rPr>
          <w:sz w:val="24"/>
          <w:szCs w:val="24"/>
        </w:rPr>
        <w:tab/>
      </w:r>
      <w:r w:rsidR="00B34219">
        <w:rPr>
          <w:sz w:val="24"/>
          <w:szCs w:val="24"/>
        </w:rPr>
        <w:t xml:space="preserve">There is strong evidence that the PCC is acting in accordance with his Police and Crime Plan.  </w:t>
      </w:r>
      <w:r w:rsidR="00F7055F">
        <w:rPr>
          <w:sz w:val="24"/>
          <w:szCs w:val="24"/>
        </w:rPr>
        <w:t>Partnerships have recognised that the PCC has acted to establish partner working groups</w:t>
      </w:r>
      <w:r w:rsidR="005C0452">
        <w:rPr>
          <w:sz w:val="24"/>
          <w:szCs w:val="24"/>
        </w:rPr>
        <w:t>, including the CSP Forum</w:t>
      </w:r>
      <w:r w:rsidR="00F7055F">
        <w:rPr>
          <w:sz w:val="24"/>
          <w:szCs w:val="24"/>
        </w:rPr>
        <w:t xml:space="preserve">.  These offer a good mechanism of sharing learning, whilst giving the freedom for localities to adapt approaches according to local circumstance.  </w:t>
      </w:r>
    </w:p>
    <w:p w:rsidR="00F7055F" w:rsidRPr="00714DDC" w:rsidRDefault="00F7055F" w:rsidP="00742A7E">
      <w:pPr>
        <w:ind w:left="720" w:hanging="720"/>
        <w:rPr>
          <w:sz w:val="18"/>
          <w:szCs w:val="24"/>
        </w:rPr>
      </w:pPr>
    </w:p>
    <w:p w:rsidR="00AE5678" w:rsidRDefault="005F54DB" w:rsidP="00B72344">
      <w:pPr>
        <w:ind w:left="720" w:right="-330" w:hanging="720"/>
        <w:rPr>
          <w:sz w:val="24"/>
          <w:szCs w:val="24"/>
        </w:rPr>
      </w:pPr>
      <w:r>
        <w:rPr>
          <w:sz w:val="24"/>
          <w:szCs w:val="24"/>
        </w:rPr>
        <w:t>2.4</w:t>
      </w:r>
      <w:r>
        <w:rPr>
          <w:sz w:val="24"/>
          <w:szCs w:val="24"/>
        </w:rPr>
        <w:tab/>
      </w:r>
      <w:r w:rsidR="005C0452">
        <w:rPr>
          <w:sz w:val="24"/>
          <w:szCs w:val="24"/>
        </w:rPr>
        <w:t xml:space="preserve">The CSPs continue to examine progress against priorities.  Generally performance is felt to be good in many areas, which has been attributed to the continuation of </w:t>
      </w:r>
      <w:proofErr w:type="spellStart"/>
      <w:r w:rsidR="005C0452">
        <w:rPr>
          <w:sz w:val="24"/>
          <w:szCs w:val="24"/>
        </w:rPr>
        <w:t>passported</w:t>
      </w:r>
      <w:proofErr w:type="spellEnd"/>
      <w:r w:rsidR="005C0452">
        <w:rPr>
          <w:sz w:val="24"/>
          <w:szCs w:val="24"/>
        </w:rPr>
        <w:t xml:space="preserve"> community safety funding.  There are, however, </w:t>
      </w:r>
      <w:r w:rsidR="00E17F2B">
        <w:rPr>
          <w:sz w:val="24"/>
          <w:szCs w:val="24"/>
        </w:rPr>
        <w:t xml:space="preserve">local performance concerns.  For example, in Bradford a stringent improvement plan has been developed to tackle a rise in the proportion of residents saying anti-social behaviour has got worse based on robust enforcement and restorative justice principles to improve victim services. </w:t>
      </w:r>
    </w:p>
    <w:p w:rsidR="00AE5678" w:rsidRPr="00714DDC" w:rsidRDefault="00AE5678" w:rsidP="00F16194">
      <w:pPr>
        <w:ind w:left="720" w:hanging="720"/>
        <w:rPr>
          <w:sz w:val="16"/>
          <w:szCs w:val="24"/>
        </w:rPr>
      </w:pPr>
    </w:p>
    <w:p w:rsidR="006D0F2D" w:rsidRDefault="00467CC4" w:rsidP="006D0F2D">
      <w:pPr>
        <w:ind w:left="720" w:hanging="720"/>
        <w:rPr>
          <w:sz w:val="24"/>
          <w:szCs w:val="24"/>
        </w:rPr>
      </w:pPr>
      <w:r>
        <w:rPr>
          <w:sz w:val="24"/>
          <w:szCs w:val="24"/>
        </w:rPr>
        <w:t>2.5</w:t>
      </w:r>
      <w:r w:rsidR="006D0F2D">
        <w:rPr>
          <w:sz w:val="24"/>
          <w:szCs w:val="24"/>
        </w:rPr>
        <w:tab/>
      </w:r>
      <w:r w:rsidR="00DC5127">
        <w:rPr>
          <w:sz w:val="24"/>
          <w:szCs w:val="24"/>
        </w:rPr>
        <w:t xml:space="preserve">The Partnerships </w:t>
      </w:r>
      <w:r w:rsidR="00E17F2B">
        <w:rPr>
          <w:sz w:val="24"/>
          <w:szCs w:val="24"/>
        </w:rPr>
        <w:t xml:space="preserve">reiterate their </w:t>
      </w:r>
      <w:r w:rsidR="00DC5127">
        <w:rPr>
          <w:sz w:val="24"/>
          <w:szCs w:val="24"/>
        </w:rPr>
        <w:t>support of the PCC’s decision to extend their funding for community safety work for a further six months to September 2014</w:t>
      </w:r>
      <w:r w:rsidR="000D3158">
        <w:rPr>
          <w:sz w:val="24"/>
          <w:szCs w:val="24"/>
        </w:rPr>
        <w:t xml:space="preserve">. </w:t>
      </w:r>
      <w:r w:rsidR="00DC5127">
        <w:rPr>
          <w:sz w:val="24"/>
          <w:szCs w:val="24"/>
        </w:rPr>
        <w:t xml:space="preserve"> </w:t>
      </w:r>
      <w:r w:rsidR="00A91446">
        <w:rPr>
          <w:sz w:val="24"/>
          <w:szCs w:val="24"/>
        </w:rPr>
        <w:t xml:space="preserve">It was also reported that the PCC’s commissioning intentions have been communicated clearly, although there is a need to maintain this during the introduction of the Delivery Plan.  </w:t>
      </w:r>
      <w:r w:rsidR="00E17F2B">
        <w:rPr>
          <w:sz w:val="24"/>
          <w:szCs w:val="24"/>
        </w:rPr>
        <w:t>Other highlights include the opportunit</w:t>
      </w:r>
      <w:r w:rsidR="00A91446">
        <w:rPr>
          <w:sz w:val="24"/>
          <w:szCs w:val="24"/>
        </w:rPr>
        <w:t xml:space="preserve">y to work with further funding, such as POCA funds. </w:t>
      </w:r>
      <w:r w:rsidR="009A78B5">
        <w:rPr>
          <w:sz w:val="24"/>
          <w:szCs w:val="24"/>
        </w:rPr>
        <w:t xml:space="preserve"> </w:t>
      </w:r>
    </w:p>
    <w:p w:rsidR="006D0F2D" w:rsidRDefault="005C0452" w:rsidP="006D0F2D">
      <w:pPr>
        <w:ind w:left="720" w:hanging="720"/>
        <w:rPr>
          <w:sz w:val="24"/>
          <w:szCs w:val="24"/>
        </w:rPr>
      </w:pPr>
      <w:r>
        <w:rPr>
          <w:sz w:val="24"/>
          <w:szCs w:val="24"/>
        </w:rPr>
        <w:lastRenderedPageBreak/>
        <w:t>2.</w:t>
      </w:r>
      <w:r w:rsidR="00A91446">
        <w:rPr>
          <w:sz w:val="24"/>
          <w:szCs w:val="24"/>
        </w:rPr>
        <w:t>6</w:t>
      </w:r>
      <w:r w:rsidR="0003748C">
        <w:rPr>
          <w:sz w:val="24"/>
          <w:szCs w:val="24"/>
        </w:rPr>
        <w:tab/>
      </w:r>
      <w:r w:rsidR="00A91446">
        <w:rPr>
          <w:sz w:val="24"/>
          <w:szCs w:val="24"/>
        </w:rPr>
        <w:t>The</w:t>
      </w:r>
      <w:r w:rsidR="009A78B5">
        <w:rPr>
          <w:sz w:val="24"/>
          <w:szCs w:val="24"/>
        </w:rPr>
        <w:t xml:space="preserve"> AWYA</w:t>
      </w:r>
      <w:r w:rsidR="00250316">
        <w:rPr>
          <w:sz w:val="24"/>
          <w:szCs w:val="24"/>
        </w:rPr>
        <w:t xml:space="preserve"> </w:t>
      </w:r>
      <w:r w:rsidR="00A91446">
        <w:rPr>
          <w:sz w:val="24"/>
          <w:szCs w:val="24"/>
        </w:rPr>
        <w:t xml:space="preserve">continues to bring </w:t>
      </w:r>
      <w:r w:rsidR="009A78B5">
        <w:rPr>
          <w:sz w:val="24"/>
          <w:szCs w:val="24"/>
        </w:rPr>
        <w:t xml:space="preserve">CSP Managers </w:t>
      </w:r>
      <w:r w:rsidR="00A91446">
        <w:rPr>
          <w:sz w:val="24"/>
          <w:szCs w:val="24"/>
        </w:rPr>
        <w:t xml:space="preserve">together </w:t>
      </w:r>
      <w:r w:rsidR="009A78B5">
        <w:rPr>
          <w:sz w:val="24"/>
          <w:szCs w:val="24"/>
        </w:rPr>
        <w:t>to act on joint opportunities.  This has been widely welcomed by the Partnerships</w:t>
      </w:r>
      <w:r w:rsidR="00A40B4A">
        <w:rPr>
          <w:sz w:val="24"/>
          <w:szCs w:val="24"/>
        </w:rPr>
        <w:t xml:space="preserve"> and </w:t>
      </w:r>
      <w:r w:rsidR="00A91446">
        <w:rPr>
          <w:sz w:val="24"/>
          <w:szCs w:val="24"/>
        </w:rPr>
        <w:t>has recently included work with the LGA on their improvement offer for community safety work</w:t>
      </w:r>
      <w:r w:rsidR="00A40B4A">
        <w:rPr>
          <w:sz w:val="24"/>
          <w:szCs w:val="24"/>
        </w:rPr>
        <w:t>.</w:t>
      </w:r>
    </w:p>
    <w:p w:rsidR="00CB7C13" w:rsidRDefault="00CB7C13">
      <w:pPr>
        <w:rPr>
          <w:sz w:val="24"/>
          <w:szCs w:val="24"/>
        </w:rPr>
      </w:pPr>
    </w:p>
    <w:p w:rsidR="00B94254" w:rsidRDefault="00B94254">
      <w:pPr>
        <w:rPr>
          <w:b/>
          <w:sz w:val="24"/>
          <w:szCs w:val="24"/>
        </w:rPr>
      </w:pPr>
      <w:r>
        <w:rPr>
          <w:b/>
          <w:sz w:val="24"/>
          <w:szCs w:val="24"/>
        </w:rPr>
        <w:t>3.</w:t>
      </w:r>
      <w:r>
        <w:rPr>
          <w:b/>
          <w:sz w:val="24"/>
          <w:szCs w:val="24"/>
        </w:rPr>
        <w:tab/>
      </w:r>
      <w:r w:rsidR="00E14C5E">
        <w:rPr>
          <w:b/>
          <w:sz w:val="24"/>
          <w:szCs w:val="24"/>
        </w:rPr>
        <w:t>Views from Crime and Disorder Scrutiny Committees</w:t>
      </w:r>
    </w:p>
    <w:p w:rsidR="00CB7C13" w:rsidRPr="00714DDC" w:rsidRDefault="00CB7C13">
      <w:pPr>
        <w:rPr>
          <w:b/>
          <w:sz w:val="16"/>
          <w:szCs w:val="24"/>
        </w:rPr>
      </w:pPr>
    </w:p>
    <w:p w:rsidR="00415BB0" w:rsidRDefault="00FB2BAD" w:rsidP="007A6199">
      <w:pPr>
        <w:ind w:left="720" w:right="-188" w:hanging="720"/>
        <w:rPr>
          <w:sz w:val="24"/>
          <w:szCs w:val="24"/>
        </w:rPr>
      </w:pPr>
      <w:r>
        <w:rPr>
          <w:sz w:val="24"/>
          <w:szCs w:val="24"/>
        </w:rPr>
        <w:t>3.1</w:t>
      </w:r>
      <w:r>
        <w:rPr>
          <w:sz w:val="24"/>
          <w:szCs w:val="24"/>
        </w:rPr>
        <w:tab/>
        <w:t xml:space="preserve">Responses were received from </w:t>
      </w:r>
      <w:r w:rsidR="009A78B5">
        <w:rPr>
          <w:sz w:val="24"/>
          <w:szCs w:val="24"/>
        </w:rPr>
        <w:t>three</w:t>
      </w:r>
      <w:r>
        <w:rPr>
          <w:sz w:val="24"/>
          <w:szCs w:val="24"/>
        </w:rPr>
        <w:t xml:space="preserve"> district Crime and Disorder Scrutiny Committees</w:t>
      </w:r>
      <w:r w:rsidR="009A78B5">
        <w:rPr>
          <w:sz w:val="24"/>
          <w:szCs w:val="24"/>
        </w:rPr>
        <w:t xml:space="preserve"> (</w:t>
      </w:r>
      <w:r w:rsidR="00A91446">
        <w:rPr>
          <w:sz w:val="24"/>
          <w:szCs w:val="24"/>
        </w:rPr>
        <w:t>Kirklees</w:t>
      </w:r>
      <w:r w:rsidR="009A78B5">
        <w:rPr>
          <w:sz w:val="24"/>
          <w:szCs w:val="24"/>
        </w:rPr>
        <w:t>, Leeds and Wakefield)</w:t>
      </w:r>
      <w:r>
        <w:rPr>
          <w:sz w:val="24"/>
          <w:szCs w:val="24"/>
        </w:rPr>
        <w:t>.</w:t>
      </w:r>
    </w:p>
    <w:p w:rsidR="00FB2BAD" w:rsidRPr="00714DDC" w:rsidRDefault="00FB2BAD" w:rsidP="00FB2BAD">
      <w:pPr>
        <w:ind w:left="720" w:hanging="720"/>
        <w:rPr>
          <w:sz w:val="18"/>
          <w:szCs w:val="24"/>
        </w:rPr>
      </w:pPr>
    </w:p>
    <w:p w:rsidR="00723F03" w:rsidRDefault="00A91446" w:rsidP="00723F03">
      <w:pPr>
        <w:ind w:left="720" w:hanging="720"/>
        <w:rPr>
          <w:sz w:val="24"/>
          <w:szCs w:val="24"/>
        </w:rPr>
      </w:pPr>
      <w:r>
        <w:rPr>
          <w:sz w:val="24"/>
          <w:szCs w:val="24"/>
        </w:rPr>
        <w:t>3.2</w:t>
      </w:r>
      <w:r>
        <w:rPr>
          <w:sz w:val="24"/>
          <w:szCs w:val="24"/>
        </w:rPr>
        <w:tab/>
        <w:t>Committees in Kirklees and Wakefield have recently focused</w:t>
      </w:r>
      <w:r w:rsidR="00B11761">
        <w:rPr>
          <w:sz w:val="24"/>
          <w:szCs w:val="24"/>
        </w:rPr>
        <w:t xml:space="preserve"> on strategic approaches</w:t>
      </w:r>
      <w:r w:rsidR="00B72344">
        <w:rPr>
          <w:sz w:val="24"/>
          <w:szCs w:val="24"/>
        </w:rPr>
        <w:t xml:space="preserve"> to crime</w:t>
      </w:r>
      <w:r w:rsidR="00B11761">
        <w:rPr>
          <w:sz w:val="24"/>
          <w:szCs w:val="24"/>
        </w:rPr>
        <w:t xml:space="preserve"> </w:t>
      </w:r>
      <w:r w:rsidR="00B72344">
        <w:rPr>
          <w:sz w:val="24"/>
          <w:szCs w:val="24"/>
        </w:rPr>
        <w:t xml:space="preserve">and disorder </w:t>
      </w:r>
      <w:r w:rsidR="00B11761">
        <w:rPr>
          <w:sz w:val="24"/>
          <w:szCs w:val="24"/>
        </w:rPr>
        <w:t xml:space="preserve">via local Community Safety Plans.  The Committees felt these plans were stronger following their input.  </w:t>
      </w:r>
    </w:p>
    <w:p w:rsidR="004E13F7" w:rsidRPr="00714DDC" w:rsidRDefault="004E13F7" w:rsidP="004E13F7">
      <w:pPr>
        <w:pStyle w:val="ListParagraph"/>
        <w:ind w:left="1418"/>
        <w:rPr>
          <w:sz w:val="18"/>
          <w:szCs w:val="24"/>
        </w:rPr>
      </w:pPr>
    </w:p>
    <w:p w:rsidR="00DA2394" w:rsidRDefault="00723F03" w:rsidP="00DA2394">
      <w:pPr>
        <w:ind w:left="720" w:hanging="720"/>
        <w:rPr>
          <w:sz w:val="24"/>
          <w:szCs w:val="24"/>
        </w:rPr>
      </w:pPr>
      <w:r>
        <w:rPr>
          <w:sz w:val="24"/>
          <w:szCs w:val="24"/>
        </w:rPr>
        <w:t>3.3</w:t>
      </w:r>
      <w:r w:rsidR="00FB2BAD">
        <w:rPr>
          <w:sz w:val="24"/>
          <w:szCs w:val="24"/>
        </w:rPr>
        <w:tab/>
      </w:r>
      <w:r w:rsidR="00B11761">
        <w:rPr>
          <w:sz w:val="24"/>
          <w:szCs w:val="24"/>
        </w:rPr>
        <w:t xml:space="preserve">Wakefield’s Scrutiny Committee reported that the </w:t>
      </w:r>
      <w:smartTag w:uri="urn:schemas-microsoft-com:office:smarttags" w:element="stockticker">
        <w:r w:rsidR="00B11761">
          <w:rPr>
            <w:sz w:val="24"/>
            <w:szCs w:val="24"/>
          </w:rPr>
          <w:t>PCC</w:t>
        </w:r>
      </w:smartTag>
      <w:r w:rsidR="00B11761">
        <w:rPr>
          <w:sz w:val="24"/>
          <w:szCs w:val="24"/>
        </w:rPr>
        <w:t xml:space="preserve"> attending its December meeting in response to concerns about the future funding of community safety programmes.  The </w:t>
      </w:r>
      <w:smartTag w:uri="urn:schemas-microsoft-com:office:smarttags" w:element="stockticker">
        <w:r w:rsidR="00B11761">
          <w:rPr>
            <w:sz w:val="24"/>
            <w:szCs w:val="24"/>
          </w:rPr>
          <w:t>PCC</w:t>
        </w:r>
      </w:smartTag>
      <w:r w:rsidR="00B11761">
        <w:rPr>
          <w:sz w:val="24"/>
          <w:szCs w:val="24"/>
        </w:rPr>
        <w:t xml:space="preserve"> explained that no decisions would be made until March and </w:t>
      </w:r>
      <w:r w:rsidR="00570B74">
        <w:rPr>
          <w:sz w:val="24"/>
          <w:szCs w:val="24"/>
        </w:rPr>
        <w:t xml:space="preserve">following analysis of existing programmes.  The </w:t>
      </w:r>
      <w:smartTag w:uri="urn:schemas-microsoft-com:office:smarttags" w:element="stockticker">
        <w:r w:rsidR="00570B74">
          <w:rPr>
            <w:sz w:val="24"/>
            <w:szCs w:val="24"/>
          </w:rPr>
          <w:t>PCC</w:t>
        </w:r>
      </w:smartTag>
      <w:r w:rsidR="00570B74">
        <w:rPr>
          <w:sz w:val="24"/>
          <w:szCs w:val="24"/>
        </w:rPr>
        <w:t xml:space="preserve"> committed to a minimum of six months’ notice of any reduction or withdrawal of funding. </w:t>
      </w:r>
      <w:r w:rsidR="00DA2394">
        <w:rPr>
          <w:sz w:val="24"/>
          <w:szCs w:val="24"/>
        </w:rPr>
        <w:t xml:space="preserve"> </w:t>
      </w:r>
    </w:p>
    <w:p w:rsidR="00DA2394" w:rsidRPr="00B72344" w:rsidRDefault="00DA2394" w:rsidP="00DA2394">
      <w:pPr>
        <w:ind w:left="720" w:hanging="720"/>
        <w:rPr>
          <w:sz w:val="16"/>
          <w:szCs w:val="24"/>
        </w:rPr>
      </w:pPr>
    </w:p>
    <w:p w:rsidR="007A6199" w:rsidRDefault="00DA2394" w:rsidP="00DA2394">
      <w:pPr>
        <w:ind w:left="720" w:hanging="720"/>
        <w:rPr>
          <w:sz w:val="24"/>
          <w:szCs w:val="24"/>
        </w:rPr>
      </w:pPr>
      <w:r>
        <w:rPr>
          <w:sz w:val="24"/>
          <w:szCs w:val="24"/>
        </w:rPr>
        <w:t>3.4</w:t>
      </w:r>
      <w:r>
        <w:rPr>
          <w:sz w:val="24"/>
          <w:szCs w:val="24"/>
        </w:rPr>
        <w:tab/>
        <w:t>Scrutiny Committ</w:t>
      </w:r>
      <w:r w:rsidR="00FD17EB">
        <w:rPr>
          <w:sz w:val="24"/>
          <w:szCs w:val="24"/>
        </w:rPr>
        <w:t xml:space="preserve">ees have also acted on the </w:t>
      </w:r>
      <w:r w:rsidR="007A6199">
        <w:rPr>
          <w:sz w:val="24"/>
          <w:szCs w:val="24"/>
        </w:rPr>
        <w:t>number and targeting of PCSOs</w:t>
      </w:r>
      <w:r w:rsidR="00FD17EB">
        <w:rPr>
          <w:sz w:val="24"/>
          <w:szCs w:val="24"/>
        </w:rPr>
        <w:t>, illustrated by the report from Leeds (attached as appendix A)</w:t>
      </w:r>
      <w:r w:rsidR="002A351B">
        <w:rPr>
          <w:sz w:val="24"/>
          <w:szCs w:val="24"/>
        </w:rPr>
        <w:t>.</w:t>
      </w:r>
      <w:r w:rsidR="00FD17EB">
        <w:rPr>
          <w:sz w:val="24"/>
          <w:szCs w:val="24"/>
        </w:rPr>
        <w:t xml:space="preserve"> </w:t>
      </w:r>
      <w:r w:rsidR="002A351B">
        <w:rPr>
          <w:sz w:val="24"/>
          <w:szCs w:val="24"/>
        </w:rPr>
        <w:t xml:space="preserve"> </w:t>
      </w:r>
      <w:r w:rsidR="00B72344">
        <w:rPr>
          <w:sz w:val="24"/>
          <w:szCs w:val="24"/>
        </w:rPr>
        <w:t xml:space="preserve"> </w:t>
      </w:r>
    </w:p>
    <w:p w:rsidR="007A6199" w:rsidRPr="00B72344" w:rsidRDefault="007A6199" w:rsidP="00FB2BAD">
      <w:pPr>
        <w:ind w:left="720" w:hanging="720"/>
        <w:rPr>
          <w:sz w:val="16"/>
          <w:szCs w:val="24"/>
        </w:rPr>
      </w:pPr>
    </w:p>
    <w:p w:rsidR="00FB2BAD" w:rsidRDefault="00DA2394" w:rsidP="00FB2BAD">
      <w:pPr>
        <w:ind w:left="720" w:hanging="720"/>
        <w:rPr>
          <w:sz w:val="24"/>
          <w:szCs w:val="24"/>
        </w:rPr>
      </w:pPr>
      <w:r>
        <w:rPr>
          <w:sz w:val="24"/>
          <w:szCs w:val="24"/>
        </w:rPr>
        <w:t>3.5</w:t>
      </w:r>
      <w:r w:rsidR="007A6199">
        <w:rPr>
          <w:sz w:val="24"/>
          <w:szCs w:val="24"/>
        </w:rPr>
        <w:tab/>
      </w:r>
      <w:r w:rsidR="005F3739">
        <w:rPr>
          <w:sz w:val="24"/>
          <w:szCs w:val="24"/>
        </w:rPr>
        <w:t xml:space="preserve">Police and Crime Panel Members continue to be involved in local scrutiny work, including reviews of Hate Crime, Child Sexual Exploitation and Victims’ Services (Wakefield); Domestic Violence (Leeds) and </w:t>
      </w:r>
      <w:r w:rsidR="00B72344">
        <w:rPr>
          <w:sz w:val="24"/>
          <w:szCs w:val="24"/>
        </w:rPr>
        <w:t>oversight of performance (Kirklees).</w:t>
      </w:r>
    </w:p>
    <w:p w:rsidR="000D3158" w:rsidRDefault="000D3158">
      <w:pPr>
        <w:rPr>
          <w:b/>
          <w:sz w:val="2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E14C5E">
        <w:rPr>
          <w:b/>
          <w:sz w:val="24"/>
          <w:szCs w:val="24"/>
        </w:rPr>
        <w:t>Implications for</w:t>
      </w:r>
      <w:r w:rsidR="00161C40">
        <w:rPr>
          <w:b/>
          <w:sz w:val="24"/>
          <w:szCs w:val="24"/>
        </w:rPr>
        <w:t xml:space="preserve"> the</w:t>
      </w:r>
      <w:r w:rsidR="00E14C5E">
        <w:rPr>
          <w:b/>
          <w:sz w:val="24"/>
          <w:szCs w:val="24"/>
        </w:rPr>
        <w:t xml:space="preserve"> Panel</w:t>
      </w:r>
    </w:p>
    <w:p w:rsidR="007F468D" w:rsidRPr="00DA2394" w:rsidRDefault="007F468D">
      <w:pPr>
        <w:rPr>
          <w:b/>
          <w:sz w:val="16"/>
          <w:szCs w:val="24"/>
        </w:rPr>
      </w:pPr>
    </w:p>
    <w:p w:rsidR="00E612DC" w:rsidRDefault="009D5F46" w:rsidP="007A6199">
      <w:pPr>
        <w:ind w:left="720" w:right="-46" w:hanging="720"/>
        <w:rPr>
          <w:sz w:val="24"/>
          <w:szCs w:val="24"/>
        </w:rPr>
      </w:pPr>
      <w:r>
        <w:rPr>
          <w:sz w:val="24"/>
          <w:szCs w:val="24"/>
        </w:rPr>
        <w:t>4</w:t>
      </w:r>
      <w:r w:rsidR="00957833" w:rsidRPr="007C5D1F">
        <w:rPr>
          <w:sz w:val="24"/>
          <w:szCs w:val="24"/>
        </w:rPr>
        <w:t>.1</w:t>
      </w:r>
      <w:r w:rsidR="00957833" w:rsidRPr="007C5D1F">
        <w:rPr>
          <w:sz w:val="24"/>
          <w:szCs w:val="24"/>
        </w:rPr>
        <w:tab/>
      </w:r>
      <w:r w:rsidR="00723F03">
        <w:rPr>
          <w:sz w:val="24"/>
          <w:szCs w:val="24"/>
        </w:rPr>
        <w:t>Common issues that</w:t>
      </w:r>
      <w:r w:rsidR="00E612DC">
        <w:rPr>
          <w:sz w:val="24"/>
          <w:szCs w:val="24"/>
        </w:rPr>
        <w:t xml:space="preserve"> </w:t>
      </w:r>
      <w:r w:rsidR="00723F03">
        <w:rPr>
          <w:sz w:val="24"/>
          <w:szCs w:val="24"/>
        </w:rPr>
        <w:t xml:space="preserve">may </w:t>
      </w:r>
      <w:r w:rsidR="00E612DC">
        <w:rPr>
          <w:sz w:val="24"/>
          <w:szCs w:val="24"/>
        </w:rPr>
        <w:t xml:space="preserve">warrant further discussion with the </w:t>
      </w:r>
      <w:r w:rsidR="0046331B">
        <w:rPr>
          <w:sz w:val="24"/>
          <w:szCs w:val="24"/>
        </w:rPr>
        <w:t>PCC</w:t>
      </w:r>
      <w:r w:rsidR="00723F03">
        <w:rPr>
          <w:sz w:val="24"/>
          <w:szCs w:val="24"/>
        </w:rPr>
        <w:t xml:space="preserve"> include</w:t>
      </w:r>
      <w:r w:rsidR="0014392D">
        <w:rPr>
          <w:sz w:val="24"/>
          <w:szCs w:val="24"/>
        </w:rPr>
        <w:t>:</w:t>
      </w:r>
    </w:p>
    <w:p w:rsidR="004B3061" w:rsidRDefault="00B72344" w:rsidP="00E96C7A">
      <w:pPr>
        <w:pStyle w:val="ListParagraph"/>
        <w:numPr>
          <w:ilvl w:val="0"/>
          <w:numId w:val="18"/>
        </w:numPr>
        <w:spacing w:before="120"/>
        <w:ind w:left="1417" w:hanging="357"/>
        <w:contextualSpacing w:val="0"/>
        <w:rPr>
          <w:sz w:val="24"/>
          <w:szCs w:val="24"/>
        </w:rPr>
      </w:pPr>
      <w:r>
        <w:rPr>
          <w:sz w:val="24"/>
          <w:szCs w:val="24"/>
        </w:rPr>
        <w:t xml:space="preserve">The approval process for the £1m investment in tackling domestic violence in West Yorkshire, described in the PCC’s precept decision; </w:t>
      </w:r>
    </w:p>
    <w:p w:rsidR="0014392D" w:rsidRPr="004B3061" w:rsidRDefault="004B3061" w:rsidP="004B3061">
      <w:pPr>
        <w:pStyle w:val="ListParagraph"/>
        <w:numPr>
          <w:ilvl w:val="0"/>
          <w:numId w:val="18"/>
        </w:numPr>
        <w:spacing w:before="120"/>
        <w:ind w:left="1417" w:hanging="357"/>
        <w:contextualSpacing w:val="0"/>
        <w:rPr>
          <w:sz w:val="24"/>
          <w:szCs w:val="24"/>
        </w:rPr>
      </w:pPr>
      <w:r>
        <w:rPr>
          <w:sz w:val="24"/>
          <w:szCs w:val="24"/>
        </w:rPr>
        <w:t xml:space="preserve">The timetable for implementing his Delivery Plan; </w:t>
      </w:r>
      <w:r w:rsidR="00B72344" w:rsidRPr="004B3061">
        <w:rPr>
          <w:sz w:val="24"/>
          <w:szCs w:val="24"/>
        </w:rPr>
        <w:t>and,</w:t>
      </w:r>
    </w:p>
    <w:p w:rsidR="00FB3B60" w:rsidRDefault="0046331B" w:rsidP="00C21775">
      <w:pPr>
        <w:pStyle w:val="ListParagraph"/>
        <w:numPr>
          <w:ilvl w:val="0"/>
          <w:numId w:val="18"/>
        </w:numPr>
        <w:spacing w:before="120"/>
        <w:ind w:left="1417" w:hanging="357"/>
        <w:contextualSpacing w:val="0"/>
        <w:rPr>
          <w:sz w:val="24"/>
          <w:szCs w:val="24"/>
        </w:rPr>
      </w:pPr>
      <w:r>
        <w:rPr>
          <w:sz w:val="24"/>
          <w:szCs w:val="24"/>
        </w:rPr>
        <w:t>The process he uses and actions he has taken in respect of the performance concerns identified by Partnerships an</w:t>
      </w:r>
      <w:r w:rsidR="0003452A">
        <w:rPr>
          <w:sz w:val="24"/>
          <w:szCs w:val="24"/>
        </w:rPr>
        <w:t>d Committees.</w:t>
      </w:r>
      <w:r>
        <w:rPr>
          <w:sz w:val="24"/>
          <w:szCs w:val="24"/>
        </w:rPr>
        <w:t xml:space="preserve"> </w:t>
      </w:r>
    </w:p>
    <w:p w:rsidR="00E612DC" w:rsidRPr="00D33EE5" w:rsidRDefault="00E612DC">
      <w:pPr>
        <w:rPr>
          <w:sz w:val="16"/>
          <w:szCs w:val="24"/>
        </w:rPr>
      </w:pPr>
    </w:p>
    <w:p w:rsidR="007C5D1F" w:rsidRDefault="00E612DC" w:rsidP="007229AE">
      <w:pPr>
        <w:ind w:left="720" w:hanging="720"/>
        <w:rPr>
          <w:sz w:val="24"/>
          <w:szCs w:val="24"/>
        </w:rPr>
      </w:pPr>
      <w:r>
        <w:rPr>
          <w:sz w:val="24"/>
          <w:szCs w:val="24"/>
        </w:rPr>
        <w:t>4.2</w:t>
      </w:r>
      <w:r>
        <w:rPr>
          <w:sz w:val="24"/>
          <w:szCs w:val="24"/>
        </w:rPr>
        <w:tab/>
      </w:r>
      <w:r w:rsidR="007229AE">
        <w:rPr>
          <w:sz w:val="24"/>
          <w:szCs w:val="24"/>
        </w:rPr>
        <w:t xml:space="preserve">Crucial to the success of the ‘Local Perspectives’ process is the two-way provision of information. Whilst information will be relayed back to the Partnerships and Committees that have kindly provided information for the Panel, this might be further underpinned by Panel members de-briefing colleagues in constituent areas in order to put in a firmer local context. </w:t>
      </w:r>
    </w:p>
    <w:p w:rsidR="005B01D0" w:rsidRDefault="005B01D0" w:rsidP="007229AE">
      <w:pPr>
        <w:ind w:left="720" w:hanging="720"/>
        <w:rPr>
          <w:sz w:val="24"/>
          <w:szCs w:val="24"/>
        </w:rPr>
      </w:pPr>
    </w:p>
    <w:p w:rsidR="005B01D0" w:rsidRPr="005B01D0" w:rsidRDefault="005B01D0" w:rsidP="00F358E7">
      <w:pPr>
        <w:ind w:left="720" w:right="-188" w:hanging="720"/>
        <w:rPr>
          <w:b/>
          <w:sz w:val="24"/>
          <w:szCs w:val="24"/>
        </w:rPr>
      </w:pPr>
      <w:r w:rsidRPr="005B01D0">
        <w:rPr>
          <w:b/>
          <w:sz w:val="24"/>
          <w:szCs w:val="24"/>
        </w:rPr>
        <w:t>5.</w:t>
      </w:r>
      <w:r w:rsidRPr="005B01D0">
        <w:rPr>
          <w:b/>
          <w:sz w:val="24"/>
          <w:szCs w:val="24"/>
        </w:rPr>
        <w:tab/>
        <w:t>Reco</w:t>
      </w:r>
      <w:r>
        <w:rPr>
          <w:b/>
          <w:sz w:val="24"/>
          <w:szCs w:val="24"/>
        </w:rPr>
        <w:t>mmendation</w:t>
      </w:r>
    </w:p>
    <w:p w:rsidR="005B01D0" w:rsidRPr="00DA2394" w:rsidRDefault="005B01D0" w:rsidP="00F358E7">
      <w:pPr>
        <w:ind w:left="720" w:right="-188" w:hanging="720"/>
        <w:rPr>
          <w:sz w:val="16"/>
          <w:szCs w:val="24"/>
        </w:rPr>
      </w:pPr>
    </w:p>
    <w:p w:rsidR="007C5D1F" w:rsidRPr="007C5D1F" w:rsidRDefault="005B01D0" w:rsidP="00B72344">
      <w:pPr>
        <w:ind w:left="720" w:right="-188" w:hanging="720"/>
        <w:rPr>
          <w:sz w:val="24"/>
          <w:szCs w:val="24"/>
        </w:rPr>
      </w:pPr>
      <w:r>
        <w:rPr>
          <w:sz w:val="24"/>
          <w:szCs w:val="24"/>
        </w:rPr>
        <w:t>5.1</w:t>
      </w:r>
      <w:r w:rsidR="00F358E7" w:rsidRPr="00F358E7">
        <w:rPr>
          <w:sz w:val="24"/>
          <w:szCs w:val="24"/>
        </w:rPr>
        <w:tab/>
        <w:t xml:space="preserve">It is recommended that the Panel notes the common trends and views highlighted in the report.  </w:t>
      </w:r>
      <w:r w:rsidR="00F358E7">
        <w:rPr>
          <w:sz w:val="24"/>
          <w:szCs w:val="24"/>
        </w:rPr>
        <w:t>Suggestions for future work may</w:t>
      </w:r>
      <w:r w:rsidR="00F358E7" w:rsidRPr="00F358E7">
        <w:rPr>
          <w:sz w:val="24"/>
          <w:szCs w:val="24"/>
        </w:rPr>
        <w:t xml:space="preserve"> be included in </w:t>
      </w:r>
      <w:r w:rsidR="00627AC8">
        <w:rPr>
          <w:sz w:val="24"/>
          <w:szCs w:val="24"/>
        </w:rPr>
        <w:t>the Panel’s work programme and M</w:t>
      </w:r>
      <w:bookmarkStart w:id="0" w:name="_GoBack"/>
      <w:bookmarkEnd w:id="0"/>
      <w:r w:rsidR="00F358E7" w:rsidRPr="00F358E7">
        <w:rPr>
          <w:sz w:val="24"/>
          <w:szCs w:val="24"/>
        </w:rPr>
        <w:t xml:space="preserve">embers may </w:t>
      </w:r>
      <w:r w:rsidR="00F358E7">
        <w:rPr>
          <w:sz w:val="24"/>
          <w:szCs w:val="24"/>
        </w:rPr>
        <w:t xml:space="preserve">also wish </w:t>
      </w:r>
      <w:r w:rsidR="00F358E7" w:rsidRPr="00F358E7">
        <w:rPr>
          <w:sz w:val="24"/>
          <w:szCs w:val="24"/>
        </w:rPr>
        <w:t xml:space="preserve">to raise certain issues with the </w:t>
      </w:r>
      <w:r w:rsidR="005E3E25">
        <w:rPr>
          <w:sz w:val="24"/>
          <w:szCs w:val="24"/>
        </w:rPr>
        <w:t>PCC</w:t>
      </w:r>
      <w:r w:rsidR="00F358E7" w:rsidRPr="00F358E7">
        <w:rPr>
          <w:sz w:val="24"/>
          <w:szCs w:val="24"/>
        </w:rPr>
        <w:t xml:space="preserve">.  </w:t>
      </w:r>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1B" w:rsidRDefault="0046331B" w:rsidP="00344495">
      <w:r>
        <w:separator/>
      </w:r>
    </w:p>
  </w:endnote>
  <w:endnote w:type="continuationSeparator" w:id="0">
    <w:p w:rsidR="0046331B" w:rsidRDefault="0046331B"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Content>
      <w:sdt>
        <w:sdtPr>
          <w:id w:val="-1669238322"/>
          <w:docPartObj>
            <w:docPartGallery w:val="Page Numbers (Top of Page)"/>
            <w:docPartUnique/>
          </w:docPartObj>
        </w:sdtPr>
        <w:sdtContent>
          <w:p w:rsidR="0046331B" w:rsidRDefault="004633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AC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AC8">
              <w:rPr>
                <w:b/>
                <w:bCs/>
                <w:noProof/>
              </w:rPr>
              <w:t>2</w:t>
            </w:r>
            <w:r>
              <w:rPr>
                <w:b/>
                <w:bCs/>
                <w:sz w:val="24"/>
                <w:szCs w:val="24"/>
              </w:rPr>
              <w:fldChar w:fldCharType="end"/>
            </w:r>
          </w:p>
        </w:sdtContent>
      </w:sdt>
    </w:sdtContent>
  </w:sdt>
  <w:p w:rsidR="0046331B" w:rsidRDefault="00463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1B" w:rsidRDefault="0046331B" w:rsidP="00344495">
      <w:r>
        <w:separator/>
      </w:r>
    </w:p>
  </w:footnote>
  <w:footnote w:type="continuationSeparator" w:id="0">
    <w:p w:rsidR="0046331B" w:rsidRDefault="0046331B"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7"/>
  </w:num>
  <w:num w:numId="4">
    <w:abstractNumId w:val="3"/>
  </w:num>
  <w:num w:numId="5">
    <w:abstractNumId w:val="10"/>
  </w:num>
  <w:num w:numId="6">
    <w:abstractNumId w:val="0"/>
  </w:num>
  <w:num w:numId="7">
    <w:abstractNumId w:val="9"/>
  </w:num>
  <w:num w:numId="8">
    <w:abstractNumId w:val="18"/>
  </w:num>
  <w:num w:numId="9">
    <w:abstractNumId w:val="14"/>
  </w:num>
  <w:num w:numId="10">
    <w:abstractNumId w:val="6"/>
  </w:num>
  <w:num w:numId="11">
    <w:abstractNumId w:val="16"/>
  </w:num>
  <w:num w:numId="12">
    <w:abstractNumId w:val="15"/>
  </w:num>
  <w:num w:numId="13">
    <w:abstractNumId w:val="5"/>
  </w:num>
  <w:num w:numId="14">
    <w:abstractNumId w:val="4"/>
  </w:num>
  <w:num w:numId="15">
    <w:abstractNumId w:val="7"/>
  </w:num>
  <w:num w:numId="16">
    <w:abstractNumId w:val="13"/>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260BB"/>
    <w:rsid w:val="0003452A"/>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61AAF"/>
    <w:rsid w:val="0046331B"/>
    <w:rsid w:val="00467CC4"/>
    <w:rsid w:val="00496003"/>
    <w:rsid w:val="00496FF4"/>
    <w:rsid w:val="004972D9"/>
    <w:rsid w:val="004A0873"/>
    <w:rsid w:val="004A1A5D"/>
    <w:rsid w:val="004B3061"/>
    <w:rsid w:val="004C0831"/>
    <w:rsid w:val="004C35A1"/>
    <w:rsid w:val="004D0BCE"/>
    <w:rsid w:val="004D3D33"/>
    <w:rsid w:val="004D4621"/>
    <w:rsid w:val="004D5D9E"/>
    <w:rsid w:val="004E13F7"/>
    <w:rsid w:val="00502CB3"/>
    <w:rsid w:val="00521E66"/>
    <w:rsid w:val="0052551E"/>
    <w:rsid w:val="005311C1"/>
    <w:rsid w:val="00536FC0"/>
    <w:rsid w:val="00550A4E"/>
    <w:rsid w:val="00552275"/>
    <w:rsid w:val="005532FE"/>
    <w:rsid w:val="00553A65"/>
    <w:rsid w:val="00560626"/>
    <w:rsid w:val="00570B74"/>
    <w:rsid w:val="005721B2"/>
    <w:rsid w:val="005752CB"/>
    <w:rsid w:val="005772B9"/>
    <w:rsid w:val="00593797"/>
    <w:rsid w:val="005B01D0"/>
    <w:rsid w:val="005B145D"/>
    <w:rsid w:val="005B48DD"/>
    <w:rsid w:val="005C0452"/>
    <w:rsid w:val="005C7BBE"/>
    <w:rsid w:val="005E3E25"/>
    <w:rsid w:val="005F3739"/>
    <w:rsid w:val="005F54DB"/>
    <w:rsid w:val="005F7707"/>
    <w:rsid w:val="00623964"/>
    <w:rsid w:val="00624C07"/>
    <w:rsid w:val="00627AC8"/>
    <w:rsid w:val="006304AF"/>
    <w:rsid w:val="00636DB1"/>
    <w:rsid w:val="00643AAC"/>
    <w:rsid w:val="0066308F"/>
    <w:rsid w:val="0066370B"/>
    <w:rsid w:val="006776DB"/>
    <w:rsid w:val="00677C6A"/>
    <w:rsid w:val="00677E3A"/>
    <w:rsid w:val="006C1953"/>
    <w:rsid w:val="006C1DA1"/>
    <w:rsid w:val="006C4BCD"/>
    <w:rsid w:val="006D0F2D"/>
    <w:rsid w:val="006D1C4E"/>
    <w:rsid w:val="006F3B1E"/>
    <w:rsid w:val="00700809"/>
    <w:rsid w:val="00714DDC"/>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21B9F"/>
    <w:rsid w:val="008262D4"/>
    <w:rsid w:val="0083575E"/>
    <w:rsid w:val="008437F7"/>
    <w:rsid w:val="0086629E"/>
    <w:rsid w:val="0087518A"/>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7389A"/>
    <w:rsid w:val="009773DB"/>
    <w:rsid w:val="00984EAB"/>
    <w:rsid w:val="00990D1B"/>
    <w:rsid w:val="009A78B5"/>
    <w:rsid w:val="009B3661"/>
    <w:rsid w:val="009B660D"/>
    <w:rsid w:val="009B76AB"/>
    <w:rsid w:val="009B7A60"/>
    <w:rsid w:val="009D1CE9"/>
    <w:rsid w:val="009D5F46"/>
    <w:rsid w:val="009E6635"/>
    <w:rsid w:val="00A02BFC"/>
    <w:rsid w:val="00A02C53"/>
    <w:rsid w:val="00A04370"/>
    <w:rsid w:val="00A16DD3"/>
    <w:rsid w:val="00A20AA7"/>
    <w:rsid w:val="00A33B84"/>
    <w:rsid w:val="00A40B4A"/>
    <w:rsid w:val="00A4228E"/>
    <w:rsid w:val="00A430A4"/>
    <w:rsid w:val="00A44C67"/>
    <w:rsid w:val="00A91446"/>
    <w:rsid w:val="00A94D9E"/>
    <w:rsid w:val="00AA01B6"/>
    <w:rsid w:val="00AA72CC"/>
    <w:rsid w:val="00AE5678"/>
    <w:rsid w:val="00B0334F"/>
    <w:rsid w:val="00B1046E"/>
    <w:rsid w:val="00B10B79"/>
    <w:rsid w:val="00B11761"/>
    <w:rsid w:val="00B21300"/>
    <w:rsid w:val="00B2304C"/>
    <w:rsid w:val="00B3170B"/>
    <w:rsid w:val="00B34219"/>
    <w:rsid w:val="00B35D50"/>
    <w:rsid w:val="00B40621"/>
    <w:rsid w:val="00B4454F"/>
    <w:rsid w:val="00B517A6"/>
    <w:rsid w:val="00B72344"/>
    <w:rsid w:val="00B8699C"/>
    <w:rsid w:val="00B94254"/>
    <w:rsid w:val="00B95F43"/>
    <w:rsid w:val="00BB06EA"/>
    <w:rsid w:val="00BB6207"/>
    <w:rsid w:val="00BD175D"/>
    <w:rsid w:val="00BD5A47"/>
    <w:rsid w:val="00BF2643"/>
    <w:rsid w:val="00BF6A3B"/>
    <w:rsid w:val="00C21775"/>
    <w:rsid w:val="00C31C6E"/>
    <w:rsid w:val="00C66AB0"/>
    <w:rsid w:val="00C7190E"/>
    <w:rsid w:val="00C721A9"/>
    <w:rsid w:val="00C8049C"/>
    <w:rsid w:val="00C83A12"/>
    <w:rsid w:val="00C83A42"/>
    <w:rsid w:val="00C95DAB"/>
    <w:rsid w:val="00CA7BC2"/>
    <w:rsid w:val="00CB7C13"/>
    <w:rsid w:val="00CC2FE6"/>
    <w:rsid w:val="00D07274"/>
    <w:rsid w:val="00D1784F"/>
    <w:rsid w:val="00D216B9"/>
    <w:rsid w:val="00D33EE5"/>
    <w:rsid w:val="00D3439C"/>
    <w:rsid w:val="00D44D5C"/>
    <w:rsid w:val="00D508D6"/>
    <w:rsid w:val="00D53CD4"/>
    <w:rsid w:val="00D627F2"/>
    <w:rsid w:val="00D64593"/>
    <w:rsid w:val="00D7528E"/>
    <w:rsid w:val="00D769BC"/>
    <w:rsid w:val="00D77FBB"/>
    <w:rsid w:val="00D84BAE"/>
    <w:rsid w:val="00D95B99"/>
    <w:rsid w:val="00D95F02"/>
    <w:rsid w:val="00DA2394"/>
    <w:rsid w:val="00DB0400"/>
    <w:rsid w:val="00DC5127"/>
    <w:rsid w:val="00DF12A3"/>
    <w:rsid w:val="00DF3AE4"/>
    <w:rsid w:val="00E14C5E"/>
    <w:rsid w:val="00E17F2B"/>
    <w:rsid w:val="00E5443E"/>
    <w:rsid w:val="00E612DC"/>
    <w:rsid w:val="00E650A1"/>
    <w:rsid w:val="00E96C7A"/>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7055F"/>
    <w:rsid w:val="00F8056C"/>
    <w:rsid w:val="00F8411F"/>
    <w:rsid w:val="00FB2BAD"/>
    <w:rsid w:val="00FB3B60"/>
    <w:rsid w:val="00FC16E4"/>
    <w:rsid w:val="00FC489D"/>
    <w:rsid w:val="00FC551F"/>
    <w:rsid w:val="00FD17EB"/>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E1E05-71D4-4877-B95D-A8E7E8ADEB59}"/>
</file>

<file path=customXml/itemProps2.xml><?xml version="1.0" encoding="utf-8"?>
<ds:datastoreItem xmlns:ds="http://schemas.openxmlformats.org/officeDocument/2006/customXml" ds:itemID="{F4DA778D-C40C-4E81-A8E5-F73AE0BA7FD1}"/>
</file>

<file path=customXml/itemProps3.xml><?xml version="1.0" encoding="utf-8"?>
<ds:datastoreItem xmlns:ds="http://schemas.openxmlformats.org/officeDocument/2006/customXml" ds:itemID="{B8F6BE56-A198-49CC-9CBA-C5C85C2B2A3E}"/>
</file>

<file path=docProps/app.xml><?xml version="1.0" encoding="utf-8"?>
<Properties xmlns="http://schemas.openxmlformats.org/officeDocument/2006/extended-properties" xmlns:vt="http://schemas.openxmlformats.org/officeDocument/2006/docPropsVTypes">
  <Template>Normal</Template>
  <TotalTime>129</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9 - Local Perspectives</dc:title>
  <dc:creator>Elliott, Clare (AWYA)</dc:creator>
  <cp:lastModifiedBy>Skinner, Jonathan</cp:lastModifiedBy>
  <cp:revision>41</cp:revision>
  <cp:lastPrinted>2013-05-30T12:49:00Z</cp:lastPrinted>
  <dcterms:created xsi:type="dcterms:W3CDTF">2014-02-26T15:00:00Z</dcterms:created>
  <dcterms:modified xsi:type="dcterms:W3CDTF">2014-02-26T17:18:00Z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