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9AFB5" w14:textId="3093206C" w:rsidR="00210530" w:rsidRDefault="00200D80" w:rsidP="00F561A3">
      <w:pPr>
        <w:spacing w:after="0" w:line="240" w:lineRule="auto"/>
        <w:rPr>
          <w:rFonts w:ascii="Arial Narrow" w:eastAsia="Times New Roman" w:hAnsi="Arial Narrow" w:cs="Times New Roman"/>
          <w:b/>
          <w:smallCaps/>
          <w:noProof/>
          <w:sz w:val="24"/>
          <w:szCs w:val="24"/>
        </w:rPr>
      </w:pPr>
      <w:r w:rsidRPr="00200D80">
        <w:rPr>
          <w:rFonts w:ascii="Arial Narrow" w:eastAsia="Times New Roman" w:hAnsi="Arial Narrow" w:cs="Times New Roman"/>
          <w:b/>
          <w:smallCaps/>
          <w:noProof/>
          <w:sz w:val="24"/>
          <w:szCs w:val="24"/>
        </w:rPr>
        <mc:AlternateContent>
          <mc:Choice Requires="wps">
            <w:drawing>
              <wp:anchor distT="45720" distB="45720" distL="114300" distR="114300" simplePos="0" relativeHeight="251659264" behindDoc="0" locked="0" layoutInCell="1" allowOverlap="1" wp14:anchorId="174FA422" wp14:editId="4646DCB4">
                <wp:simplePos x="0" y="0"/>
                <wp:positionH relativeFrom="column">
                  <wp:posOffset>5505450</wp:posOffset>
                </wp:positionH>
                <wp:positionV relativeFrom="paragraph">
                  <wp:posOffset>0</wp:posOffset>
                </wp:positionV>
                <wp:extent cx="828675" cy="1404620"/>
                <wp:effectExtent l="0" t="0" r="28575" b="15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1404620"/>
                        </a:xfrm>
                        <a:prstGeom prst="rect">
                          <a:avLst/>
                        </a:prstGeom>
                        <a:solidFill>
                          <a:srgbClr val="FFFFFF"/>
                        </a:solidFill>
                        <a:ln w="9525">
                          <a:solidFill>
                            <a:srgbClr val="000000"/>
                          </a:solidFill>
                          <a:miter lim="800000"/>
                          <a:headEnd/>
                          <a:tailEnd/>
                        </a:ln>
                      </wps:spPr>
                      <wps:txbx>
                        <w:txbxContent>
                          <w:p w14:paraId="5EECFB46" w14:textId="5003EC6A" w:rsidR="00200D80" w:rsidRPr="00200D80" w:rsidRDefault="00200D80">
                            <w:pPr>
                              <w:rPr>
                                <w:rFonts w:ascii="Arial" w:hAnsi="Arial" w:cs="Arial"/>
                                <w:b/>
                                <w:bCs/>
                                <w:sz w:val="28"/>
                                <w:szCs w:val="28"/>
                              </w:rPr>
                            </w:pPr>
                            <w:r w:rsidRPr="00200D80">
                              <w:rPr>
                                <w:rFonts w:ascii="Arial" w:hAnsi="Arial" w:cs="Arial"/>
                                <w:b/>
                                <w:bCs/>
                                <w:sz w:val="28"/>
                                <w:szCs w:val="28"/>
                              </w:rPr>
                              <w:t>Item 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4FA422" id="_x0000_t202" coordsize="21600,21600" o:spt="202" path="m,l,21600r21600,l21600,xe">
                <v:stroke joinstyle="miter"/>
                <v:path gradientshapeok="t" o:connecttype="rect"/>
              </v:shapetype>
              <v:shape id="Text Box 2" o:spid="_x0000_s1026" type="#_x0000_t202" style="position:absolute;margin-left:433.5pt;margin-top:0;width:65.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5snEAIAAB8EAAAOAAAAZHJzL2Uyb0RvYy54bWysk99v2yAQx98n7X9AvC92oiRtrThVly7T&#10;pO6H1O0PwBjHaJhjB4md/fU7cJpG3fYyjQcE3PHl7nPH6nboDDso9BpsyaeTnDNlJdTa7kr+7ev2&#10;zTVnPghbCwNWlfyoPL9dv3616l2hZtCCqRUyErG+6F3J2xBckWVetqoTfgJOWTI2gJ0ItMVdVqPo&#10;Sb0z2SzPl1kPWDsEqbyn0/vRyNdJv2mUDJ+bxqvATMkptpBmTHMV52y9EsUOhWu1PIUh/iGKTmhL&#10;j56l7kUQbI/6N6lOSwQPTZhI6DJoGi1VyoGymeYvsnlshVMpF4Lj3RmT/3+y8tPh0X1BFoa3MFAB&#10;UxLePYD87pmFTSvsTt0hQt8qUdPD04gs650vTlcjal/4KFL1H6GmIot9gCQ0NNhFKpQnI3UqwPEM&#10;XQ2BSTq8nl0vrxacSTJN5/l8OUtVyUTxdNuhD+8VdCwuSo5U1KQuDg8+xGhE8eQSH/NgdL3VxqQN&#10;7qqNQXYQ1ADbNFICL9yMZX3JbxazxQjgrxJ5Gn+S6HSgTja6o5TOTqKI2N7ZOvVZENqMawrZ2BPH&#10;iG6EGIZqIMfIs4L6SEQRxo6lH0aLFvAnZz11a8n9j71AxZn5YKkqN9P5PLZ32swXV8SQ4aWlurQI&#10;K0mq5IGzcbkJ6UskYO6OqrfVCexzJKdYqQsT79OPiW1+uU9ez/96/QsAAP//AwBQSwMEFAAGAAgA&#10;AAAhAKUFtbjeAAAACAEAAA8AAABkcnMvZG93bnJldi54bWxMj8FOwzAQRO9I/IO1SFwq6jQoaRuy&#10;qaBST5wayt2NTRIRr4Pttunfs5zoZaTVrGbelJvJDuJsfOgdISzmCQhDjdM9tQiHj93TCkSIirQa&#10;HBmEqwmwqe7vSlVod6G9OdexFRxCoVAIXYxjIWVoOmNVmLvREHtfzlsV+fSt1F5dONwOMk2SXFrV&#10;Ezd0ajTbzjTf9cki5D/18+z9U89of929+cZmenvIEB8fptcXENFM8f8Z/vAZHSpmOroT6SAGhFW+&#10;5C0RgZXt9XqZgTgipOkiBVmV8nZA9QsAAP//AwBQSwECLQAUAAYACAAAACEAtoM4kv4AAADhAQAA&#10;EwAAAAAAAAAAAAAAAAAAAAAAW0NvbnRlbnRfVHlwZXNdLnhtbFBLAQItABQABgAIAAAAIQA4/SH/&#10;1gAAAJQBAAALAAAAAAAAAAAAAAAAAC8BAABfcmVscy8ucmVsc1BLAQItABQABgAIAAAAIQBbN5sn&#10;EAIAAB8EAAAOAAAAAAAAAAAAAAAAAC4CAABkcnMvZTJvRG9jLnhtbFBLAQItABQABgAIAAAAIQCl&#10;BbW43gAAAAgBAAAPAAAAAAAAAAAAAAAAAGoEAABkcnMvZG93bnJldi54bWxQSwUGAAAAAAQABADz&#10;AAAAdQUAAAAA&#10;">
                <v:textbox style="mso-fit-shape-to-text:t">
                  <w:txbxContent>
                    <w:p w14:paraId="5EECFB46" w14:textId="5003EC6A" w:rsidR="00200D80" w:rsidRPr="00200D80" w:rsidRDefault="00200D80">
                      <w:pPr>
                        <w:rPr>
                          <w:rFonts w:ascii="Arial" w:hAnsi="Arial" w:cs="Arial"/>
                          <w:b/>
                          <w:bCs/>
                          <w:sz w:val="28"/>
                          <w:szCs w:val="28"/>
                        </w:rPr>
                      </w:pPr>
                      <w:r w:rsidRPr="00200D80">
                        <w:rPr>
                          <w:rFonts w:ascii="Arial" w:hAnsi="Arial" w:cs="Arial"/>
                          <w:b/>
                          <w:bCs/>
                          <w:sz w:val="28"/>
                          <w:szCs w:val="28"/>
                        </w:rPr>
                        <w:t>Item 5</w:t>
                      </w:r>
                    </w:p>
                  </w:txbxContent>
                </v:textbox>
                <w10:wrap type="square"/>
              </v:shape>
            </w:pict>
          </mc:Fallback>
        </mc:AlternateContent>
      </w:r>
      <w:r w:rsidR="009D27F0">
        <w:rPr>
          <w:rFonts w:ascii="Arial Narrow" w:eastAsia="Times New Roman" w:hAnsi="Arial Narrow" w:cs="Times New Roman"/>
          <w:b/>
          <w:smallCaps/>
          <w:noProof/>
          <w:sz w:val="24"/>
          <w:szCs w:val="24"/>
        </w:rPr>
        <w:drawing>
          <wp:inline distT="0" distB="0" distL="0" distR="0" wp14:anchorId="03E9B9D9" wp14:editId="28948876">
            <wp:extent cx="3686175" cy="1342934"/>
            <wp:effectExtent l="0" t="0" r="0" b="0"/>
            <wp:docPr id="644742197" name="Picture 644742197" descr="A close-up of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742197" name="Picture 1" descr="A close-up of black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747913" cy="1365426"/>
                    </a:xfrm>
                    <a:prstGeom prst="rect">
                      <a:avLst/>
                    </a:prstGeom>
                  </pic:spPr>
                </pic:pic>
              </a:graphicData>
            </a:graphic>
          </wp:inline>
        </w:drawing>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2"/>
        <w:gridCol w:w="8074"/>
      </w:tblGrid>
      <w:tr w:rsidR="008F19FE" w:rsidRPr="0019152A" w14:paraId="667D9DCF" w14:textId="77777777" w:rsidTr="000B7791">
        <w:trPr>
          <w:trHeight w:hRule="exact" w:val="567"/>
        </w:trPr>
        <w:tc>
          <w:tcPr>
            <w:tcW w:w="858" w:type="pct"/>
            <w:tcBorders>
              <w:top w:val="single" w:sz="8" w:space="0" w:color="auto"/>
            </w:tcBorders>
            <w:vAlign w:val="center"/>
          </w:tcPr>
          <w:p w14:paraId="0DAE4509" w14:textId="77777777" w:rsidR="008F19FE" w:rsidRPr="0019152A" w:rsidRDefault="008F19FE" w:rsidP="006149D3">
            <w:pPr>
              <w:pStyle w:val="Header"/>
              <w:rPr>
                <w:rFonts w:ascii="Arial" w:hAnsi="Arial" w:cs="Arial"/>
                <w:b/>
                <w:sz w:val="24"/>
                <w:szCs w:val="24"/>
              </w:rPr>
            </w:pPr>
            <w:r w:rsidRPr="0019152A">
              <w:rPr>
                <w:rFonts w:ascii="Arial" w:hAnsi="Arial" w:cs="Arial"/>
                <w:b/>
                <w:sz w:val="24"/>
                <w:szCs w:val="24"/>
              </w:rPr>
              <w:t>Report to:</w:t>
            </w:r>
          </w:p>
        </w:tc>
        <w:tc>
          <w:tcPr>
            <w:tcW w:w="4142" w:type="pct"/>
            <w:tcBorders>
              <w:top w:val="single" w:sz="8" w:space="0" w:color="auto"/>
            </w:tcBorders>
            <w:vAlign w:val="center"/>
          </w:tcPr>
          <w:p w14:paraId="719B1B92" w14:textId="77777777" w:rsidR="008F19FE" w:rsidRPr="0019152A" w:rsidRDefault="008F19FE" w:rsidP="006149D3">
            <w:pPr>
              <w:pStyle w:val="Header"/>
              <w:rPr>
                <w:rFonts w:ascii="Arial" w:hAnsi="Arial" w:cs="Arial"/>
                <w:sz w:val="24"/>
                <w:szCs w:val="24"/>
              </w:rPr>
            </w:pPr>
            <w:r w:rsidRPr="0019152A">
              <w:rPr>
                <w:rFonts w:ascii="Arial" w:hAnsi="Arial" w:cs="Arial"/>
                <w:sz w:val="24"/>
                <w:szCs w:val="24"/>
              </w:rPr>
              <w:t>Police and Crime Panel</w:t>
            </w:r>
          </w:p>
        </w:tc>
      </w:tr>
      <w:tr w:rsidR="008F19FE" w:rsidRPr="0019152A" w14:paraId="765D74D1" w14:textId="77777777" w:rsidTr="000B7791">
        <w:trPr>
          <w:trHeight w:hRule="exact" w:val="567"/>
        </w:trPr>
        <w:tc>
          <w:tcPr>
            <w:tcW w:w="858" w:type="pct"/>
            <w:vAlign w:val="center"/>
          </w:tcPr>
          <w:p w14:paraId="7C1BEC15" w14:textId="77777777" w:rsidR="008F19FE" w:rsidRPr="0019152A" w:rsidRDefault="008F19FE" w:rsidP="006149D3">
            <w:pPr>
              <w:pStyle w:val="Header"/>
              <w:rPr>
                <w:rFonts w:ascii="Arial" w:hAnsi="Arial" w:cs="Arial"/>
                <w:b/>
                <w:sz w:val="24"/>
                <w:szCs w:val="24"/>
              </w:rPr>
            </w:pPr>
            <w:r w:rsidRPr="0019152A">
              <w:rPr>
                <w:rFonts w:ascii="Arial" w:hAnsi="Arial" w:cs="Arial"/>
                <w:b/>
                <w:sz w:val="24"/>
                <w:szCs w:val="24"/>
              </w:rPr>
              <w:t xml:space="preserve">Date:  </w:t>
            </w:r>
          </w:p>
        </w:tc>
        <w:tc>
          <w:tcPr>
            <w:tcW w:w="4142" w:type="pct"/>
            <w:vAlign w:val="center"/>
          </w:tcPr>
          <w:p w14:paraId="563CD252" w14:textId="0986AD74" w:rsidR="008F19FE" w:rsidRPr="0019152A" w:rsidRDefault="008D586F" w:rsidP="006149D3">
            <w:pPr>
              <w:pStyle w:val="Header"/>
              <w:rPr>
                <w:rFonts w:ascii="Arial" w:hAnsi="Arial" w:cs="Arial"/>
                <w:sz w:val="24"/>
                <w:szCs w:val="24"/>
              </w:rPr>
            </w:pPr>
            <w:r>
              <w:rPr>
                <w:rFonts w:ascii="Arial" w:hAnsi="Arial" w:cs="Arial"/>
                <w:sz w:val="24"/>
                <w:szCs w:val="24"/>
              </w:rPr>
              <w:t>7</w:t>
            </w:r>
            <w:r w:rsidR="008F19FE" w:rsidRPr="0019152A">
              <w:rPr>
                <w:rFonts w:ascii="Arial" w:hAnsi="Arial" w:cs="Arial"/>
                <w:sz w:val="24"/>
                <w:szCs w:val="24"/>
              </w:rPr>
              <w:t xml:space="preserve"> November 202</w:t>
            </w:r>
            <w:r>
              <w:rPr>
                <w:rFonts w:ascii="Arial" w:hAnsi="Arial" w:cs="Arial"/>
                <w:sz w:val="24"/>
                <w:szCs w:val="24"/>
              </w:rPr>
              <w:t>5</w:t>
            </w:r>
          </w:p>
        </w:tc>
      </w:tr>
      <w:tr w:rsidR="008F19FE" w:rsidRPr="0019152A" w14:paraId="47FCFB07" w14:textId="77777777" w:rsidTr="000B7791">
        <w:trPr>
          <w:trHeight w:hRule="exact" w:val="567"/>
        </w:trPr>
        <w:tc>
          <w:tcPr>
            <w:tcW w:w="858" w:type="pct"/>
            <w:tcBorders>
              <w:bottom w:val="single" w:sz="4" w:space="0" w:color="auto"/>
            </w:tcBorders>
            <w:vAlign w:val="center"/>
          </w:tcPr>
          <w:p w14:paraId="7A577EBE" w14:textId="77777777" w:rsidR="008F19FE" w:rsidRPr="0019152A" w:rsidRDefault="008F19FE" w:rsidP="006149D3">
            <w:pPr>
              <w:pStyle w:val="Header"/>
              <w:rPr>
                <w:rFonts w:ascii="Arial" w:hAnsi="Arial" w:cs="Arial"/>
                <w:b/>
                <w:sz w:val="24"/>
                <w:szCs w:val="24"/>
              </w:rPr>
            </w:pPr>
            <w:r w:rsidRPr="0019152A">
              <w:rPr>
                <w:rFonts w:ascii="Arial" w:hAnsi="Arial" w:cs="Arial"/>
                <w:b/>
                <w:sz w:val="24"/>
                <w:szCs w:val="24"/>
              </w:rPr>
              <w:t xml:space="preserve">Subject:  </w:t>
            </w:r>
          </w:p>
        </w:tc>
        <w:tc>
          <w:tcPr>
            <w:tcW w:w="4142" w:type="pct"/>
            <w:tcBorders>
              <w:bottom w:val="single" w:sz="4" w:space="0" w:color="auto"/>
            </w:tcBorders>
            <w:vAlign w:val="center"/>
          </w:tcPr>
          <w:p w14:paraId="09A632F1" w14:textId="77777777" w:rsidR="008F19FE" w:rsidRPr="0019152A" w:rsidRDefault="008F19FE" w:rsidP="006149D3">
            <w:pPr>
              <w:pStyle w:val="Header"/>
              <w:rPr>
                <w:rFonts w:ascii="Arial" w:hAnsi="Arial" w:cs="Arial"/>
                <w:bCs/>
                <w:sz w:val="24"/>
                <w:szCs w:val="24"/>
              </w:rPr>
            </w:pPr>
            <w:r w:rsidRPr="0019152A">
              <w:rPr>
                <w:rFonts w:ascii="Arial" w:hAnsi="Arial" w:cs="Arial"/>
                <w:bCs/>
                <w:sz w:val="24"/>
                <w:szCs w:val="24"/>
              </w:rPr>
              <w:t>Medium Term Financial Forecast</w:t>
            </w:r>
          </w:p>
        </w:tc>
      </w:tr>
    </w:tbl>
    <w:p w14:paraId="781D5C74" w14:textId="77777777" w:rsidR="00F561A3" w:rsidRPr="009D27F0" w:rsidRDefault="00F561A3" w:rsidP="00F561A3">
      <w:pPr>
        <w:spacing w:after="0" w:line="240" w:lineRule="auto"/>
        <w:rPr>
          <w:rFonts w:ascii="Arial Narrow" w:eastAsia="Times New Roman" w:hAnsi="Arial Narrow" w:cs="Times New Roman"/>
          <w:b/>
          <w:smallCaps/>
          <w:noProof/>
          <w:sz w:val="24"/>
          <w:szCs w:val="24"/>
        </w:rPr>
      </w:pPr>
    </w:p>
    <w:tbl>
      <w:tblPr>
        <w:tblStyle w:val="TableGrid"/>
        <w:tblW w:w="51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9"/>
        <w:gridCol w:w="8296"/>
      </w:tblGrid>
      <w:tr w:rsidR="00337D96" w:rsidRPr="0019152A" w14:paraId="517AE5B4" w14:textId="77777777" w:rsidTr="000B7791">
        <w:trPr>
          <w:trHeight w:hRule="exact" w:val="777"/>
        </w:trPr>
        <w:tc>
          <w:tcPr>
            <w:tcW w:w="858" w:type="pct"/>
            <w:tcBorders>
              <w:top w:val="single" w:sz="4" w:space="0" w:color="auto"/>
            </w:tcBorders>
            <w:vAlign w:val="center"/>
          </w:tcPr>
          <w:p w14:paraId="716E4D44" w14:textId="77777777" w:rsidR="00337D96" w:rsidRPr="0019152A" w:rsidRDefault="00337D96" w:rsidP="006149D3">
            <w:pPr>
              <w:pStyle w:val="Header"/>
              <w:rPr>
                <w:rFonts w:ascii="Arial" w:hAnsi="Arial" w:cs="Arial"/>
                <w:b/>
                <w:sz w:val="24"/>
                <w:szCs w:val="24"/>
              </w:rPr>
            </w:pPr>
            <w:r w:rsidRPr="0019152A">
              <w:rPr>
                <w:rFonts w:ascii="Arial" w:hAnsi="Arial" w:cs="Arial"/>
                <w:b/>
                <w:sz w:val="24"/>
                <w:szCs w:val="24"/>
              </w:rPr>
              <w:t>Report of:</w:t>
            </w:r>
          </w:p>
        </w:tc>
        <w:tc>
          <w:tcPr>
            <w:tcW w:w="4142" w:type="pct"/>
            <w:tcBorders>
              <w:top w:val="single" w:sz="4" w:space="0" w:color="auto"/>
            </w:tcBorders>
            <w:vAlign w:val="center"/>
          </w:tcPr>
          <w:p w14:paraId="2F97112E" w14:textId="77777777" w:rsidR="00337D96" w:rsidRPr="0019152A" w:rsidRDefault="00337D96" w:rsidP="006149D3">
            <w:pPr>
              <w:pStyle w:val="Header"/>
              <w:rPr>
                <w:rFonts w:ascii="Arial" w:hAnsi="Arial" w:cs="Arial"/>
                <w:sz w:val="24"/>
                <w:szCs w:val="24"/>
              </w:rPr>
            </w:pPr>
            <w:r w:rsidRPr="0019152A">
              <w:rPr>
                <w:rFonts w:ascii="Arial" w:hAnsi="Arial" w:cs="Arial"/>
                <w:sz w:val="24"/>
                <w:szCs w:val="24"/>
              </w:rPr>
              <w:t>Tracy Brabin, Mayor of West Yorkshire</w:t>
            </w:r>
          </w:p>
        </w:tc>
      </w:tr>
      <w:tr w:rsidR="00337D96" w:rsidRPr="0019152A" w14:paraId="35908D9D" w14:textId="77777777" w:rsidTr="000B7791">
        <w:trPr>
          <w:trHeight w:hRule="exact" w:val="777"/>
        </w:trPr>
        <w:tc>
          <w:tcPr>
            <w:tcW w:w="858" w:type="pct"/>
            <w:tcBorders>
              <w:bottom w:val="single" w:sz="4" w:space="0" w:color="auto"/>
            </w:tcBorders>
            <w:vAlign w:val="center"/>
          </w:tcPr>
          <w:p w14:paraId="72CB1BFB" w14:textId="77777777" w:rsidR="00337D96" w:rsidRPr="0019152A" w:rsidRDefault="00337D96" w:rsidP="006149D3">
            <w:pPr>
              <w:pStyle w:val="Header"/>
              <w:rPr>
                <w:rFonts w:ascii="Arial" w:hAnsi="Arial" w:cs="Arial"/>
                <w:b/>
                <w:sz w:val="24"/>
                <w:szCs w:val="24"/>
              </w:rPr>
            </w:pPr>
            <w:r w:rsidRPr="0019152A">
              <w:rPr>
                <w:rFonts w:ascii="Arial" w:hAnsi="Arial" w:cs="Arial"/>
                <w:b/>
                <w:sz w:val="24"/>
                <w:szCs w:val="24"/>
              </w:rPr>
              <w:t>Author:</w:t>
            </w:r>
          </w:p>
        </w:tc>
        <w:tc>
          <w:tcPr>
            <w:tcW w:w="4142" w:type="pct"/>
            <w:tcBorders>
              <w:bottom w:val="single" w:sz="4" w:space="0" w:color="auto"/>
            </w:tcBorders>
            <w:vAlign w:val="center"/>
          </w:tcPr>
          <w:p w14:paraId="19A1EC5E" w14:textId="3F98D179" w:rsidR="00337D96" w:rsidRDefault="0099681B" w:rsidP="006149D3">
            <w:pPr>
              <w:pStyle w:val="Header"/>
              <w:rPr>
                <w:rFonts w:ascii="Arial" w:hAnsi="Arial" w:cs="Arial"/>
                <w:sz w:val="24"/>
                <w:szCs w:val="24"/>
              </w:rPr>
            </w:pPr>
            <w:r>
              <w:rPr>
                <w:rFonts w:ascii="Arial" w:hAnsi="Arial" w:cs="Arial"/>
                <w:sz w:val="24"/>
                <w:szCs w:val="24"/>
              </w:rPr>
              <w:t>K</w:t>
            </w:r>
            <w:r w:rsidR="008D586F">
              <w:rPr>
                <w:rFonts w:ascii="Arial" w:hAnsi="Arial" w:cs="Arial"/>
                <w:sz w:val="24"/>
                <w:szCs w:val="24"/>
              </w:rPr>
              <w:t>ate Taylor</w:t>
            </w:r>
            <w:r w:rsidR="00337D96" w:rsidRPr="0019152A">
              <w:rPr>
                <w:rFonts w:ascii="Arial" w:hAnsi="Arial" w:cs="Arial"/>
                <w:sz w:val="24"/>
                <w:szCs w:val="24"/>
              </w:rPr>
              <w:t>, Director of Finance and Commercial Services, West Yorkshire Combined Authority</w:t>
            </w:r>
          </w:p>
          <w:p w14:paraId="72C9B007" w14:textId="77777777" w:rsidR="00852DE3" w:rsidRDefault="00852DE3" w:rsidP="006149D3">
            <w:pPr>
              <w:pStyle w:val="Header"/>
              <w:rPr>
                <w:rFonts w:ascii="Arial" w:hAnsi="Arial" w:cs="Arial"/>
                <w:sz w:val="24"/>
                <w:szCs w:val="24"/>
              </w:rPr>
            </w:pPr>
          </w:p>
          <w:p w14:paraId="7C70A6FE" w14:textId="77777777" w:rsidR="00852DE3" w:rsidRDefault="00852DE3" w:rsidP="006149D3">
            <w:pPr>
              <w:pStyle w:val="Header"/>
              <w:rPr>
                <w:rFonts w:ascii="Arial" w:hAnsi="Arial" w:cs="Arial"/>
                <w:sz w:val="24"/>
                <w:szCs w:val="24"/>
              </w:rPr>
            </w:pPr>
          </w:p>
          <w:p w14:paraId="74FD541B" w14:textId="77777777" w:rsidR="00F13A11" w:rsidRPr="0019152A" w:rsidRDefault="00F13A11" w:rsidP="006149D3">
            <w:pPr>
              <w:pStyle w:val="Header"/>
              <w:rPr>
                <w:rFonts w:ascii="Arial" w:hAnsi="Arial" w:cs="Arial"/>
                <w:sz w:val="24"/>
                <w:szCs w:val="24"/>
              </w:rPr>
            </w:pPr>
          </w:p>
        </w:tc>
      </w:tr>
    </w:tbl>
    <w:p w14:paraId="7B3E1D33" w14:textId="77777777" w:rsidR="00E56D26" w:rsidRDefault="00E56D26" w:rsidP="00E56D26">
      <w:pPr>
        <w:spacing w:after="0" w:line="240" w:lineRule="auto"/>
        <w:rPr>
          <w:rFonts w:ascii="Arial" w:hAnsi="Arial" w:cs="Arial"/>
          <w:sz w:val="24"/>
          <w:szCs w:val="24"/>
        </w:rPr>
      </w:pPr>
    </w:p>
    <w:p w14:paraId="3ED762DC" w14:textId="77777777" w:rsidR="006F33B9" w:rsidRPr="0019152A" w:rsidRDefault="006F33B9" w:rsidP="006F33B9">
      <w:pPr>
        <w:rPr>
          <w:rFonts w:ascii="Arial" w:hAnsi="Arial" w:cs="Arial"/>
          <w:b/>
          <w:bCs/>
          <w:sz w:val="24"/>
          <w:szCs w:val="24"/>
        </w:rPr>
      </w:pPr>
      <w:r w:rsidRPr="0019152A">
        <w:rPr>
          <w:rFonts w:ascii="Arial" w:hAnsi="Arial" w:cs="Arial"/>
          <w:b/>
          <w:bCs/>
          <w:sz w:val="24"/>
          <w:szCs w:val="24"/>
        </w:rPr>
        <w:t xml:space="preserve">1. PURPOSE OF THE REPORT </w:t>
      </w:r>
    </w:p>
    <w:p w14:paraId="67F8689D" w14:textId="42730058" w:rsidR="006F33B9" w:rsidRPr="0019152A" w:rsidRDefault="006F33B9" w:rsidP="00813B66">
      <w:pPr>
        <w:pStyle w:val="ListParagraph"/>
        <w:numPr>
          <w:ilvl w:val="1"/>
          <w:numId w:val="24"/>
        </w:numPr>
        <w:spacing w:line="240" w:lineRule="auto"/>
        <w:jc w:val="both"/>
        <w:rPr>
          <w:rFonts w:ascii="Arial" w:hAnsi="Arial" w:cs="Arial"/>
          <w:sz w:val="24"/>
          <w:szCs w:val="24"/>
        </w:rPr>
      </w:pPr>
      <w:r w:rsidRPr="0019152A">
        <w:rPr>
          <w:rFonts w:ascii="Arial" w:hAnsi="Arial" w:cs="Arial"/>
          <w:sz w:val="24"/>
          <w:szCs w:val="24"/>
        </w:rPr>
        <w:t>To update Panel members on the</w:t>
      </w:r>
      <w:r w:rsidR="00405674">
        <w:rPr>
          <w:rFonts w:ascii="Arial" w:hAnsi="Arial" w:cs="Arial"/>
          <w:sz w:val="24"/>
          <w:szCs w:val="24"/>
        </w:rPr>
        <w:t xml:space="preserve"> current financial</w:t>
      </w:r>
      <w:r w:rsidRPr="0019152A">
        <w:rPr>
          <w:rFonts w:ascii="Arial" w:hAnsi="Arial" w:cs="Arial"/>
          <w:sz w:val="24"/>
          <w:szCs w:val="24"/>
        </w:rPr>
        <w:t xml:space="preserve"> position against the 202</w:t>
      </w:r>
      <w:r w:rsidR="008D586F">
        <w:rPr>
          <w:rFonts w:ascii="Arial" w:hAnsi="Arial" w:cs="Arial"/>
          <w:sz w:val="24"/>
          <w:szCs w:val="24"/>
        </w:rPr>
        <w:t>5</w:t>
      </w:r>
      <w:r w:rsidRPr="0019152A">
        <w:rPr>
          <w:rFonts w:ascii="Arial" w:hAnsi="Arial" w:cs="Arial"/>
          <w:sz w:val="24"/>
          <w:szCs w:val="24"/>
        </w:rPr>
        <w:t>/2</w:t>
      </w:r>
      <w:r w:rsidR="00C052FB">
        <w:rPr>
          <w:rFonts w:ascii="Arial" w:hAnsi="Arial" w:cs="Arial"/>
          <w:sz w:val="24"/>
          <w:szCs w:val="24"/>
        </w:rPr>
        <w:t>6</w:t>
      </w:r>
      <w:r w:rsidRPr="0019152A">
        <w:rPr>
          <w:rFonts w:ascii="Arial" w:hAnsi="Arial" w:cs="Arial"/>
          <w:sz w:val="24"/>
          <w:szCs w:val="24"/>
        </w:rPr>
        <w:t xml:space="preserve"> budget, the current planning for the Medium-Term Financial Forecast and provide </w:t>
      </w:r>
      <w:r w:rsidR="004C7CC7" w:rsidRPr="0019152A">
        <w:rPr>
          <w:rFonts w:ascii="Arial" w:hAnsi="Arial" w:cs="Arial"/>
          <w:sz w:val="24"/>
          <w:szCs w:val="24"/>
        </w:rPr>
        <w:t>a summary</w:t>
      </w:r>
      <w:r w:rsidRPr="0019152A">
        <w:rPr>
          <w:rFonts w:ascii="Arial" w:hAnsi="Arial" w:cs="Arial"/>
          <w:sz w:val="24"/>
          <w:szCs w:val="24"/>
        </w:rPr>
        <w:t xml:space="preserve"> of matters that are likely to impact on police funding for West Yorkshire.</w:t>
      </w:r>
    </w:p>
    <w:p w14:paraId="3FD22EF2" w14:textId="77777777" w:rsidR="006F33B9" w:rsidRDefault="006F33B9" w:rsidP="00813B66">
      <w:pPr>
        <w:spacing w:line="240" w:lineRule="auto"/>
        <w:jc w:val="both"/>
        <w:rPr>
          <w:rFonts w:ascii="Arial" w:hAnsi="Arial" w:cs="Arial"/>
          <w:sz w:val="24"/>
          <w:szCs w:val="24"/>
        </w:rPr>
      </w:pPr>
      <w:r w:rsidRPr="2399798E">
        <w:rPr>
          <w:rFonts w:ascii="Arial" w:hAnsi="Arial" w:cs="Arial"/>
          <w:sz w:val="24"/>
          <w:szCs w:val="24"/>
        </w:rPr>
        <w:t>1.2</w:t>
      </w:r>
      <w:r>
        <w:tab/>
      </w:r>
      <w:r w:rsidRPr="2399798E">
        <w:rPr>
          <w:rFonts w:ascii="Arial" w:hAnsi="Arial" w:cs="Arial"/>
          <w:sz w:val="24"/>
          <w:szCs w:val="24"/>
        </w:rPr>
        <w:t>For this briefing, the Panel are presented with the following information:</w:t>
      </w:r>
    </w:p>
    <w:p w14:paraId="3FAAAD12" w14:textId="56C4BBCE" w:rsidR="00D11B4B" w:rsidRPr="00787200" w:rsidRDefault="00787200" w:rsidP="00813B66">
      <w:pPr>
        <w:pStyle w:val="ListParagraph"/>
        <w:numPr>
          <w:ilvl w:val="0"/>
          <w:numId w:val="27"/>
        </w:numPr>
        <w:spacing w:line="240" w:lineRule="auto"/>
        <w:jc w:val="both"/>
        <w:rPr>
          <w:rFonts w:ascii="Arial" w:hAnsi="Arial" w:cs="Arial"/>
          <w:sz w:val="24"/>
          <w:szCs w:val="24"/>
        </w:rPr>
      </w:pPr>
      <w:r w:rsidRPr="0019152A">
        <w:rPr>
          <w:rFonts w:ascii="Arial" w:hAnsi="Arial" w:cs="Arial"/>
          <w:sz w:val="24"/>
          <w:szCs w:val="24"/>
        </w:rPr>
        <w:t xml:space="preserve">An </w:t>
      </w:r>
      <w:r>
        <w:rPr>
          <w:rFonts w:ascii="Arial" w:hAnsi="Arial" w:cs="Arial"/>
          <w:sz w:val="24"/>
          <w:szCs w:val="24"/>
        </w:rPr>
        <w:t>u</w:t>
      </w:r>
      <w:r w:rsidRPr="0019152A">
        <w:rPr>
          <w:rFonts w:ascii="Arial" w:hAnsi="Arial" w:cs="Arial"/>
          <w:sz w:val="24"/>
          <w:szCs w:val="24"/>
        </w:rPr>
        <w:t>pdate on the current 202</w:t>
      </w:r>
      <w:r w:rsidR="00C052FB">
        <w:rPr>
          <w:rFonts w:ascii="Arial" w:hAnsi="Arial" w:cs="Arial"/>
          <w:sz w:val="24"/>
          <w:szCs w:val="24"/>
        </w:rPr>
        <w:t>5</w:t>
      </w:r>
      <w:r w:rsidRPr="0019152A">
        <w:rPr>
          <w:rFonts w:ascii="Arial" w:hAnsi="Arial" w:cs="Arial"/>
          <w:sz w:val="24"/>
          <w:szCs w:val="24"/>
        </w:rPr>
        <w:t>/2</w:t>
      </w:r>
      <w:r w:rsidR="00C052FB">
        <w:rPr>
          <w:rFonts w:ascii="Arial" w:hAnsi="Arial" w:cs="Arial"/>
          <w:sz w:val="24"/>
          <w:szCs w:val="24"/>
        </w:rPr>
        <w:t>6</w:t>
      </w:r>
      <w:r w:rsidRPr="0019152A">
        <w:rPr>
          <w:rFonts w:ascii="Arial" w:hAnsi="Arial" w:cs="Arial"/>
          <w:sz w:val="24"/>
          <w:szCs w:val="24"/>
        </w:rPr>
        <w:t xml:space="preserve"> financial position</w:t>
      </w:r>
    </w:p>
    <w:p w14:paraId="4FD6D0D3" w14:textId="77777777" w:rsidR="00D11B4B" w:rsidRDefault="00D11B4B" w:rsidP="00813B66">
      <w:pPr>
        <w:pStyle w:val="ListParagraph"/>
        <w:spacing w:line="240" w:lineRule="auto"/>
        <w:ind w:left="2160"/>
        <w:jc w:val="both"/>
        <w:rPr>
          <w:rFonts w:ascii="Arial" w:hAnsi="Arial" w:cs="Arial"/>
          <w:sz w:val="24"/>
          <w:szCs w:val="24"/>
        </w:rPr>
      </w:pPr>
    </w:p>
    <w:p w14:paraId="26184252" w14:textId="1D1A558C" w:rsidR="00934B3D" w:rsidRPr="00934B3D" w:rsidRDefault="00934B3D" w:rsidP="0023357C">
      <w:pPr>
        <w:pStyle w:val="ListParagraph"/>
        <w:numPr>
          <w:ilvl w:val="0"/>
          <w:numId w:val="27"/>
        </w:numPr>
        <w:spacing w:line="240" w:lineRule="auto"/>
        <w:jc w:val="both"/>
        <w:rPr>
          <w:rFonts w:ascii="Arial" w:hAnsi="Arial" w:cs="Arial"/>
          <w:sz w:val="24"/>
          <w:szCs w:val="24"/>
        </w:rPr>
      </w:pPr>
      <w:r w:rsidRPr="00934B3D">
        <w:rPr>
          <w:rFonts w:ascii="Arial" w:hAnsi="Arial" w:cs="Arial"/>
          <w:sz w:val="24"/>
          <w:szCs w:val="24"/>
        </w:rPr>
        <w:t xml:space="preserve">An overview of the Revenue Medium-Term Financial Forecast for 2026/27 through to 2028/29 </w:t>
      </w:r>
    </w:p>
    <w:p w14:paraId="2DA9B02B" w14:textId="77777777" w:rsidR="00BB7621" w:rsidRDefault="00BB7621" w:rsidP="00813B66">
      <w:pPr>
        <w:pStyle w:val="ListParagraph"/>
        <w:spacing w:line="240" w:lineRule="auto"/>
        <w:ind w:left="2160"/>
        <w:jc w:val="both"/>
        <w:rPr>
          <w:rFonts w:ascii="Arial" w:hAnsi="Arial" w:cs="Arial"/>
          <w:sz w:val="24"/>
          <w:szCs w:val="24"/>
        </w:rPr>
      </w:pPr>
    </w:p>
    <w:p w14:paraId="211657D4" w14:textId="77777777" w:rsidR="00BB7621" w:rsidRDefault="00BB7621" w:rsidP="00813B66">
      <w:pPr>
        <w:pStyle w:val="ListParagraph"/>
        <w:numPr>
          <w:ilvl w:val="0"/>
          <w:numId w:val="27"/>
        </w:numPr>
        <w:spacing w:line="240" w:lineRule="auto"/>
        <w:jc w:val="both"/>
        <w:rPr>
          <w:rFonts w:ascii="Arial" w:hAnsi="Arial" w:cs="Arial"/>
          <w:sz w:val="24"/>
          <w:szCs w:val="24"/>
        </w:rPr>
      </w:pPr>
      <w:r w:rsidRPr="0019152A">
        <w:rPr>
          <w:rFonts w:ascii="Arial" w:hAnsi="Arial" w:cs="Arial"/>
          <w:sz w:val="24"/>
          <w:szCs w:val="24"/>
        </w:rPr>
        <w:t xml:space="preserve">A </w:t>
      </w:r>
      <w:r>
        <w:rPr>
          <w:rFonts w:ascii="Arial" w:hAnsi="Arial" w:cs="Arial"/>
          <w:sz w:val="24"/>
          <w:szCs w:val="24"/>
        </w:rPr>
        <w:t>s</w:t>
      </w:r>
      <w:r w:rsidRPr="0019152A">
        <w:rPr>
          <w:rFonts w:ascii="Arial" w:hAnsi="Arial" w:cs="Arial"/>
          <w:sz w:val="24"/>
          <w:szCs w:val="24"/>
        </w:rPr>
        <w:t>ummary of the likely factors impacting police budgets in future years.</w:t>
      </w:r>
    </w:p>
    <w:p w14:paraId="7242D5D7" w14:textId="77777777" w:rsidR="009D3311" w:rsidRDefault="009D3311" w:rsidP="009D3311">
      <w:pPr>
        <w:numPr>
          <w:ilvl w:val="0"/>
          <w:numId w:val="24"/>
        </w:numPr>
        <w:contextualSpacing/>
        <w:jc w:val="both"/>
        <w:rPr>
          <w:rFonts w:ascii="Arial" w:eastAsia="Calibri" w:hAnsi="Arial" w:cs="Arial"/>
          <w:b/>
          <w:bCs/>
          <w:kern w:val="2"/>
          <w:sz w:val="24"/>
          <w:szCs w:val="24"/>
          <w14:ligatures w14:val="standardContextual"/>
        </w:rPr>
      </w:pPr>
      <w:r w:rsidRPr="009D3311">
        <w:rPr>
          <w:rFonts w:ascii="Arial" w:eastAsia="Calibri" w:hAnsi="Arial" w:cs="Arial"/>
          <w:b/>
          <w:bCs/>
          <w:kern w:val="2"/>
          <w:sz w:val="24"/>
          <w:szCs w:val="24"/>
          <w14:ligatures w14:val="standardContextual"/>
        </w:rPr>
        <w:t>INFORMATION</w:t>
      </w:r>
    </w:p>
    <w:p w14:paraId="385464E8" w14:textId="77777777" w:rsidR="00310866" w:rsidRPr="009D3311" w:rsidRDefault="00310866" w:rsidP="00310866">
      <w:pPr>
        <w:ind w:left="470"/>
        <w:contextualSpacing/>
        <w:jc w:val="both"/>
        <w:rPr>
          <w:rFonts w:ascii="Arial" w:eastAsia="Calibri" w:hAnsi="Arial" w:cs="Arial"/>
          <w:b/>
          <w:bCs/>
          <w:kern w:val="2"/>
          <w:sz w:val="24"/>
          <w:szCs w:val="24"/>
          <w14:ligatures w14:val="standardContextual"/>
        </w:rPr>
      </w:pPr>
    </w:p>
    <w:p w14:paraId="09128DC6" w14:textId="4B8359F4" w:rsidR="009D3311" w:rsidRPr="009D3311" w:rsidRDefault="009D3311" w:rsidP="00FD0B86">
      <w:pPr>
        <w:ind w:firstLine="709"/>
        <w:jc w:val="both"/>
        <w:rPr>
          <w:rFonts w:ascii="Arial" w:eastAsia="Calibri" w:hAnsi="Arial" w:cs="Arial"/>
          <w:kern w:val="2"/>
          <w:sz w:val="24"/>
          <w:szCs w:val="24"/>
          <w14:ligatures w14:val="standardContextual"/>
        </w:rPr>
      </w:pPr>
      <w:r w:rsidRPr="009D3311">
        <w:rPr>
          <w:rFonts w:ascii="Arial" w:eastAsia="Calibri" w:hAnsi="Arial" w:cs="Arial"/>
          <w:b/>
          <w:bCs/>
          <w:kern w:val="2"/>
          <w:sz w:val="24"/>
          <w:szCs w:val="24"/>
          <w:u w:val="single"/>
          <w14:ligatures w14:val="standardContextual"/>
        </w:rPr>
        <w:t>Update on 202</w:t>
      </w:r>
      <w:r w:rsidR="00C052FB">
        <w:rPr>
          <w:rFonts w:ascii="Arial" w:eastAsia="Calibri" w:hAnsi="Arial" w:cs="Arial"/>
          <w:b/>
          <w:bCs/>
          <w:kern w:val="2"/>
          <w:sz w:val="24"/>
          <w:szCs w:val="24"/>
          <w:u w:val="single"/>
          <w14:ligatures w14:val="standardContextual"/>
        </w:rPr>
        <w:t>5</w:t>
      </w:r>
      <w:r w:rsidRPr="009D3311">
        <w:rPr>
          <w:rFonts w:ascii="Arial" w:eastAsia="Calibri" w:hAnsi="Arial" w:cs="Arial"/>
          <w:b/>
          <w:bCs/>
          <w:kern w:val="2"/>
          <w:sz w:val="24"/>
          <w:szCs w:val="24"/>
          <w:u w:val="single"/>
          <w14:ligatures w14:val="standardContextual"/>
        </w:rPr>
        <w:t>/2</w:t>
      </w:r>
      <w:r w:rsidR="00C052FB">
        <w:rPr>
          <w:rFonts w:ascii="Arial" w:eastAsia="Calibri" w:hAnsi="Arial" w:cs="Arial"/>
          <w:b/>
          <w:bCs/>
          <w:kern w:val="2"/>
          <w:sz w:val="24"/>
          <w:szCs w:val="24"/>
          <w:u w:val="single"/>
          <w14:ligatures w14:val="standardContextual"/>
        </w:rPr>
        <w:t>6</w:t>
      </w:r>
      <w:r w:rsidRPr="009D3311">
        <w:rPr>
          <w:rFonts w:ascii="Arial" w:eastAsia="Calibri" w:hAnsi="Arial" w:cs="Arial"/>
          <w:b/>
          <w:bCs/>
          <w:kern w:val="2"/>
          <w:sz w:val="24"/>
          <w:szCs w:val="24"/>
          <w:u w:val="single"/>
          <w14:ligatures w14:val="standardContextual"/>
        </w:rPr>
        <w:t xml:space="preserve"> Financial Position</w:t>
      </w:r>
      <w:r w:rsidRPr="009D3311">
        <w:rPr>
          <w:rFonts w:ascii="Arial" w:eastAsia="Calibri" w:hAnsi="Arial" w:cs="Arial"/>
          <w:kern w:val="2"/>
          <w:sz w:val="24"/>
          <w:szCs w:val="24"/>
          <w14:ligatures w14:val="standardContextual"/>
        </w:rPr>
        <w:t xml:space="preserve">. </w:t>
      </w:r>
    </w:p>
    <w:p w14:paraId="464E9893" w14:textId="7513B2AF" w:rsidR="00337D96" w:rsidRDefault="009D3311" w:rsidP="00974ED5">
      <w:pPr>
        <w:spacing w:after="0" w:line="240" w:lineRule="auto"/>
        <w:ind w:left="720" w:hanging="720"/>
        <w:rPr>
          <w:rFonts w:ascii="Arial" w:eastAsia="Calibri" w:hAnsi="Arial" w:cs="Arial"/>
          <w:kern w:val="2"/>
          <w:sz w:val="24"/>
          <w:szCs w:val="24"/>
          <w14:ligatures w14:val="standardContextual"/>
        </w:rPr>
      </w:pPr>
      <w:r w:rsidRPr="009D3311">
        <w:rPr>
          <w:rFonts w:ascii="Arial" w:eastAsia="Calibri" w:hAnsi="Arial" w:cs="Arial"/>
          <w:kern w:val="2"/>
          <w:sz w:val="24"/>
          <w:szCs w:val="24"/>
          <w14:ligatures w14:val="standardContextual"/>
        </w:rPr>
        <w:t xml:space="preserve">2.1 </w:t>
      </w:r>
      <w:r w:rsidRPr="009D3311">
        <w:rPr>
          <w:rFonts w:ascii="Arial" w:eastAsia="Calibri" w:hAnsi="Arial" w:cs="Arial"/>
          <w:kern w:val="2"/>
          <w:sz w:val="24"/>
          <w:szCs w:val="24"/>
          <w14:ligatures w14:val="standardContextual"/>
        </w:rPr>
        <w:tab/>
      </w:r>
      <w:r w:rsidR="001311CC">
        <w:rPr>
          <w:rFonts w:ascii="Arial" w:eastAsia="Calibri" w:hAnsi="Arial" w:cs="Arial"/>
          <w:kern w:val="2"/>
          <w:sz w:val="24"/>
          <w:szCs w:val="24"/>
          <w14:ligatures w14:val="standardContextual"/>
        </w:rPr>
        <w:t>I</w:t>
      </w:r>
      <w:r w:rsidRPr="009D3311">
        <w:rPr>
          <w:rFonts w:ascii="Arial" w:eastAsia="Calibri" w:hAnsi="Arial" w:cs="Arial"/>
          <w:kern w:val="2"/>
          <w:sz w:val="24"/>
          <w:szCs w:val="24"/>
          <w14:ligatures w14:val="standardContextual"/>
        </w:rPr>
        <w:t xml:space="preserve">n February </w:t>
      </w:r>
      <w:r w:rsidR="001311CC" w:rsidRPr="0C327D98">
        <w:rPr>
          <w:rFonts w:ascii="Arial" w:eastAsia="Calibri" w:hAnsi="Arial" w:cs="Arial"/>
          <w:sz w:val="24"/>
          <w:szCs w:val="24"/>
        </w:rPr>
        <w:t xml:space="preserve">2025 </w:t>
      </w:r>
      <w:r w:rsidRPr="009D3311">
        <w:rPr>
          <w:rFonts w:ascii="Arial" w:eastAsia="Calibri" w:hAnsi="Arial" w:cs="Arial"/>
          <w:kern w:val="2"/>
          <w:sz w:val="24"/>
          <w:szCs w:val="24"/>
          <w14:ligatures w14:val="standardContextual"/>
        </w:rPr>
        <w:t xml:space="preserve">a budget position was presented </w:t>
      </w:r>
      <w:r w:rsidR="001311CC" w:rsidRPr="0C327D98">
        <w:rPr>
          <w:rFonts w:ascii="Arial" w:eastAsia="Calibri" w:hAnsi="Arial" w:cs="Arial"/>
          <w:sz w:val="24"/>
          <w:szCs w:val="24"/>
        </w:rPr>
        <w:t xml:space="preserve">to the Police and Crime Panel </w:t>
      </w:r>
      <w:r w:rsidRPr="009D3311">
        <w:rPr>
          <w:rFonts w:ascii="Arial" w:eastAsia="Calibri" w:hAnsi="Arial" w:cs="Arial"/>
          <w:kern w:val="2"/>
          <w:sz w:val="24"/>
          <w:szCs w:val="24"/>
          <w14:ligatures w14:val="standardContextual"/>
        </w:rPr>
        <w:t>that showed a balanced budget for 202</w:t>
      </w:r>
      <w:r w:rsidR="0089573B">
        <w:rPr>
          <w:rFonts w:ascii="Arial" w:eastAsia="Calibri" w:hAnsi="Arial" w:cs="Arial"/>
          <w:kern w:val="2"/>
          <w:sz w:val="24"/>
          <w:szCs w:val="24"/>
          <w14:ligatures w14:val="standardContextual"/>
        </w:rPr>
        <w:t>5</w:t>
      </w:r>
      <w:r w:rsidRPr="009D3311">
        <w:rPr>
          <w:rFonts w:ascii="Arial" w:eastAsia="Calibri" w:hAnsi="Arial" w:cs="Arial"/>
          <w:kern w:val="2"/>
          <w:sz w:val="24"/>
          <w:szCs w:val="24"/>
          <w14:ligatures w14:val="standardContextual"/>
        </w:rPr>
        <w:t>/2</w:t>
      </w:r>
      <w:r w:rsidR="0089573B">
        <w:rPr>
          <w:rFonts w:ascii="Arial" w:eastAsia="Calibri" w:hAnsi="Arial" w:cs="Arial"/>
          <w:kern w:val="2"/>
          <w:sz w:val="24"/>
          <w:szCs w:val="24"/>
          <w14:ligatures w14:val="standardContextual"/>
        </w:rPr>
        <w:t>6</w:t>
      </w:r>
      <w:r w:rsidR="00B413B4">
        <w:rPr>
          <w:rFonts w:ascii="Arial" w:eastAsia="Calibri" w:hAnsi="Arial" w:cs="Arial"/>
          <w:kern w:val="2"/>
          <w:sz w:val="24"/>
          <w:szCs w:val="24"/>
          <w14:ligatures w14:val="standardContextual"/>
        </w:rPr>
        <w:t xml:space="preserve">, </w:t>
      </w:r>
      <w:r w:rsidR="49CC5B2F">
        <w:rPr>
          <w:rFonts w:ascii="Arial" w:eastAsia="Calibri" w:hAnsi="Arial" w:cs="Arial"/>
          <w:kern w:val="2"/>
          <w:sz w:val="24"/>
          <w:szCs w:val="24"/>
          <w14:ligatures w14:val="standardContextual"/>
        </w:rPr>
        <w:t>through planned</w:t>
      </w:r>
      <w:r w:rsidR="007F4D72">
        <w:rPr>
          <w:rFonts w:ascii="Arial" w:eastAsia="Calibri" w:hAnsi="Arial" w:cs="Arial"/>
          <w:kern w:val="2"/>
          <w:sz w:val="24"/>
          <w:szCs w:val="24"/>
          <w14:ligatures w14:val="standardContextual"/>
        </w:rPr>
        <w:t xml:space="preserve"> </w:t>
      </w:r>
      <w:r w:rsidR="00B413B4">
        <w:rPr>
          <w:rFonts w:ascii="Arial" w:eastAsia="Calibri" w:hAnsi="Arial" w:cs="Arial"/>
          <w:kern w:val="2"/>
          <w:sz w:val="24"/>
          <w:szCs w:val="24"/>
          <w14:ligatures w14:val="standardContextual"/>
        </w:rPr>
        <w:t xml:space="preserve">use of reserves </w:t>
      </w:r>
      <w:r w:rsidR="007F4D72">
        <w:rPr>
          <w:rFonts w:ascii="Arial" w:eastAsia="Calibri" w:hAnsi="Arial" w:cs="Arial"/>
          <w:kern w:val="2"/>
          <w:sz w:val="24"/>
          <w:szCs w:val="24"/>
          <w14:ligatures w14:val="standardContextual"/>
        </w:rPr>
        <w:t xml:space="preserve">(£9.6m) </w:t>
      </w:r>
      <w:r w:rsidR="00B413B4">
        <w:rPr>
          <w:rFonts w:ascii="Arial" w:eastAsia="Calibri" w:hAnsi="Arial" w:cs="Arial"/>
          <w:kern w:val="2"/>
          <w:sz w:val="24"/>
          <w:szCs w:val="24"/>
          <w14:ligatures w14:val="standardContextual"/>
        </w:rPr>
        <w:t>and setting the maxi</w:t>
      </w:r>
      <w:r w:rsidR="000011A0">
        <w:rPr>
          <w:rFonts w:ascii="Arial" w:eastAsia="Calibri" w:hAnsi="Arial" w:cs="Arial"/>
          <w:kern w:val="2"/>
          <w:sz w:val="24"/>
          <w:szCs w:val="24"/>
          <w14:ligatures w14:val="standardContextual"/>
        </w:rPr>
        <w:t>mum precept allowed for 202</w:t>
      </w:r>
      <w:r w:rsidR="0089573B">
        <w:rPr>
          <w:rFonts w:ascii="Arial" w:eastAsia="Calibri" w:hAnsi="Arial" w:cs="Arial"/>
          <w:kern w:val="2"/>
          <w:sz w:val="24"/>
          <w:szCs w:val="24"/>
          <w14:ligatures w14:val="standardContextual"/>
        </w:rPr>
        <w:t>5</w:t>
      </w:r>
      <w:r w:rsidR="000011A0">
        <w:rPr>
          <w:rFonts w:ascii="Arial" w:eastAsia="Calibri" w:hAnsi="Arial" w:cs="Arial"/>
          <w:kern w:val="2"/>
          <w:sz w:val="24"/>
          <w:szCs w:val="24"/>
          <w14:ligatures w14:val="standardContextual"/>
        </w:rPr>
        <w:t>/2</w:t>
      </w:r>
      <w:r w:rsidR="0089573B">
        <w:rPr>
          <w:rFonts w:ascii="Arial" w:eastAsia="Calibri" w:hAnsi="Arial" w:cs="Arial"/>
          <w:kern w:val="2"/>
          <w:sz w:val="24"/>
          <w:szCs w:val="24"/>
          <w14:ligatures w14:val="standardContextual"/>
        </w:rPr>
        <w:t>6</w:t>
      </w:r>
      <w:r w:rsidR="00A66384">
        <w:rPr>
          <w:rFonts w:ascii="Arial" w:eastAsia="Calibri" w:hAnsi="Arial" w:cs="Arial"/>
          <w:kern w:val="2"/>
          <w:sz w:val="24"/>
          <w:szCs w:val="24"/>
          <w14:ligatures w14:val="standardContextual"/>
        </w:rPr>
        <w:t xml:space="preserve">, an increase of £14 </w:t>
      </w:r>
      <w:r w:rsidR="00A04505">
        <w:rPr>
          <w:rFonts w:ascii="Arial" w:eastAsia="Calibri" w:hAnsi="Arial" w:cs="Arial"/>
          <w:kern w:val="2"/>
          <w:sz w:val="24"/>
          <w:szCs w:val="24"/>
          <w14:ligatures w14:val="standardContextual"/>
        </w:rPr>
        <w:t xml:space="preserve">to £263.28 </w:t>
      </w:r>
      <w:r w:rsidR="007F29E0">
        <w:rPr>
          <w:rFonts w:ascii="Arial" w:eastAsia="Calibri" w:hAnsi="Arial" w:cs="Arial"/>
          <w:kern w:val="2"/>
          <w:sz w:val="24"/>
          <w:szCs w:val="24"/>
          <w14:ligatures w14:val="standardContextual"/>
        </w:rPr>
        <w:t>(</w:t>
      </w:r>
      <w:r w:rsidR="002A2C9E">
        <w:rPr>
          <w:rFonts w:ascii="Arial" w:eastAsia="Calibri" w:hAnsi="Arial" w:cs="Arial"/>
          <w:kern w:val="2"/>
          <w:sz w:val="24"/>
          <w:szCs w:val="24"/>
          <w14:ligatures w14:val="standardContextual"/>
        </w:rPr>
        <w:t>per Band D</w:t>
      </w:r>
      <w:r w:rsidR="00A04505">
        <w:rPr>
          <w:rFonts w:ascii="Arial" w:eastAsia="Calibri" w:hAnsi="Arial" w:cs="Arial"/>
          <w:kern w:val="2"/>
          <w:sz w:val="24"/>
          <w:szCs w:val="24"/>
          <w14:ligatures w14:val="standardContextual"/>
        </w:rPr>
        <w:t xml:space="preserve"> </w:t>
      </w:r>
      <w:r w:rsidR="00F60A00">
        <w:rPr>
          <w:rFonts w:ascii="Arial" w:eastAsia="Calibri" w:hAnsi="Arial" w:cs="Arial"/>
          <w:kern w:val="2"/>
          <w:sz w:val="24"/>
          <w:szCs w:val="24"/>
          <w14:ligatures w14:val="standardContextual"/>
        </w:rPr>
        <w:t>properties)</w:t>
      </w:r>
      <w:r w:rsidR="00A04505">
        <w:rPr>
          <w:rFonts w:ascii="Arial" w:eastAsia="Calibri" w:hAnsi="Arial" w:cs="Arial"/>
          <w:kern w:val="2"/>
          <w:sz w:val="24"/>
          <w:szCs w:val="24"/>
          <w14:ligatures w14:val="standardContextual"/>
        </w:rPr>
        <w:t xml:space="preserve"> </w:t>
      </w:r>
      <w:r w:rsidR="002A1637">
        <w:rPr>
          <w:rFonts w:ascii="Arial" w:eastAsia="Calibri" w:hAnsi="Arial" w:cs="Arial"/>
          <w:kern w:val="2"/>
          <w:sz w:val="24"/>
          <w:szCs w:val="24"/>
          <w14:ligatures w14:val="standardContextual"/>
        </w:rPr>
        <w:t>result</w:t>
      </w:r>
      <w:r w:rsidR="007509E3">
        <w:rPr>
          <w:rFonts w:ascii="Arial" w:eastAsia="Calibri" w:hAnsi="Arial" w:cs="Arial"/>
          <w:kern w:val="2"/>
          <w:sz w:val="24"/>
          <w:szCs w:val="24"/>
          <w14:ligatures w14:val="standardContextual"/>
        </w:rPr>
        <w:t xml:space="preserve">ing </w:t>
      </w:r>
      <w:r w:rsidR="0009683F">
        <w:rPr>
          <w:rFonts w:ascii="Arial" w:eastAsia="Calibri" w:hAnsi="Arial" w:cs="Arial"/>
          <w:kern w:val="2"/>
          <w:sz w:val="24"/>
          <w:szCs w:val="24"/>
          <w14:ligatures w14:val="standardContextual"/>
        </w:rPr>
        <w:t xml:space="preserve">in </w:t>
      </w:r>
      <w:r w:rsidR="007509E3">
        <w:rPr>
          <w:rFonts w:ascii="Arial" w:eastAsia="Calibri" w:hAnsi="Arial" w:cs="Arial"/>
          <w:kern w:val="2"/>
          <w:sz w:val="24"/>
          <w:szCs w:val="24"/>
          <w14:ligatures w14:val="standardContextual"/>
        </w:rPr>
        <w:t>a</w:t>
      </w:r>
      <w:r w:rsidR="0009683F">
        <w:rPr>
          <w:rFonts w:ascii="Arial" w:eastAsia="Calibri" w:hAnsi="Arial" w:cs="Arial"/>
          <w:kern w:val="2"/>
          <w:sz w:val="24"/>
          <w:szCs w:val="24"/>
          <w14:ligatures w14:val="standardContextual"/>
        </w:rPr>
        <w:t xml:space="preserve"> total </w:t>
      </w:r>
      <w:r w:rsidR="007509E3">
        <w:rPr>
          <w:rFonts w:ascii="Arial" w:eastAsia="Calibri" w:hAnsi="Arial" w:cs="Arial"/>
          <w:kern w:val="2"/>
          <w:sz w:val="24"/>
          <w:szCs w:val="24"/>
          <w14:ligatures w14:val="standardContextual"/>
        </w:rPr>
        <w:t xml:space="preserve">budget </w:t>
      </w:r>
      <w:r w:rsidR="0009683F">
        <w:rPr>
          <w:rFonts w:ascii="Arial" w:eastAsia="Calibri" w:hAnsi="Arial" w:cs="Arial"/>
          <w:kern w:val="2"/>
          <w:sz w:val="24"/>
          <w:szCs w:val="24"/>
          <w14:ligatures w14:val="standardContextual"/>
        </w:rPr>
        <w:t xml:space="preserve">amount for </w:t>
      </w:r>
      <w:r w:rsidR="00C924EA">
        <w:rPr>
          <w:rFonts w:ascii="Arial" w:eastAsia="Calibri" w:hAnsi="Arial" w:cs="Arial"/>
          <w:kern w:val="2"/>
          <w:sz w:val="24"/>
          <w:szCs w:val="24"/>
          <w14:ligatures w14:val="standardContextual"/>
        </w:rPr>
        <w:t xml:space="preserve">the </w:t>
      </w:r>
      <w:r w:rsidR="00566F30">
        <w:rPr>
          <w:rFonts w:ascii="Arial" w:eastAsia="Calibri" w:hAnsi="Arial" w:cs="Arial"/>
          <w:kern w:val="2"/>
          <w:sz w:val="24"/>
          <w:szCs w:val="24"/>
          <w14:ligatures w14:val="standardContextual"/>
        </w:rPr>
        <w:t>precept of £</w:t>
      </w:r>
      <w:r w:rsidR="00275B36">
        <w:rPr>
          <w:rFonts w:ascii="Arial" w:eastAsia="Calibri" w:hAnsi="Arial" w:cs="Arial"/>
          <w:kern w:val="2"/>
          <w:sz w:val="24"/>
          <w:szCs w:val="24"/>
          <w14:ligatures w14:val="standardContextual"/>
        </w:rPr>
        <w:t>182.5m</w:t>
      </w:r>
      <w:r w:rsidR="003D73DA">
        <w:rPr>
          <w:rFonts w:ascii="Arial" w:eastAsia="Calibri" w:hAnsi="Arial" w:cs="Arial"/>
          <w:kern w:val="2"/>
          <w:sz w:val="24"/>
          <w:szCs w:val="24"/>
          <w14:ligatures w14:val="standardContextual"/>
        </w:rPr>
        <w:t>.</w:t>
      </w:r>
    </w:p>
    <w:p w14:paraId="25BFB958" w14:textId="77777777" w:rsidR="00FB4C8F" w:rsidRDefault="00FB4C8F" w:rsidP="009D3311">
      <w:pPr>
        <w:spacing w:after="0" w:line="240" w:lineRule="auto"/>
        <w:rPr>
          <w:rFonts w:ascii="Arial" w:eastAsia="Calibri" w:hAnsi="Arial" w:cs="Arial"/>
          <w:kern w:val="2"/>
          <w:sz w:val="24"/>
          <w:szCs w:val="24"/>
          <w14:ligatures w14:val="standardContextual"/>
        </w:rPr>
      </w:pPr>
    </w:p>
    <w:p w14:paraId="381CCA58" w14:textId="77777777" w:rsidR="00C51C18" w:rsidRPr="001B2582" w:rsidRDefault="00C51C18" w:rsidP="00C51C18">
      <w:pPr>
        <w:pStyle w:val="ListParagraph"/>
        <w:numPr>
          <w:ilvl w:val="1"/>
          <w:numId w:val="31"/>
        </w:numPr>
        <w:spacing w:after="0" w:line="240" w:lineRule="auto"/>
        <w:ind w:left="709" w:hanging="709"/>
        <w:rPr>
          <w:rFonts w:ascii="Arial" w:eastAsia="Calibri" w:hAnsi="Arial" w:cs="Arial"/>
          <w:kern w:val="2"/>
          <w:sz w:val="24"/>
          <w:szCs w:val="24"/>
          <w14:ligatures w14:val="standardContextual"/>
        </w:rPr>
      </w:pPr>
      <w:r w:rsidRPr="00767AE3">
        <w:rPr>
          <w:rFonts w:ascii="Arial" w:hAnsi="Arial" w:cs="Arial"/>
          <w:sz w:val="24"/>
          <w:szCs w:val="24"/>
        </w:rPr>
        <w:t>A</w:t>
      </w:r>
      <w:r>
        <w:rPr>
          <w:rFonts w:ascii="Arial" w:hAnsi="Arial" w:cs="Arial"/>
          <w:sz w:val="24"/>
          <w:szCs w:val="24"/>
        </w:rPr>
        <w:t xml:space="preserve">s </w:t>
      </w:r>
      <w:proofErr w:type="gramStart"/>
      <w:r>
        <w:rPr>
          <w:rFonts w:ascii="Arial" w:hAnsi="Arial" w:cs="Arial"/>
          <w:sz w:val="24"/>
          <w:szCs w:val="24"/>
        </w:rPr>
        <w:t>a</w:t>
      </w:r>
      <w:r w:rsidRPr="00767AE3">
        <w:rPr>
          <w:rFonts w:ascii="Arial" w:hAnsi="Arial" w:cs="Arial"/>
          <w:sz w:val="24"/>
          <w:szCs w:val="24"/>
        </w:rPr>
        <w:t>t</w:t>
      </w:r>
      <w:proofErr w:type="gramEnd"/>
      <w:r w:rsidRPr="00767AE3">
        <w:rPr>
          <w:rFonts w:ascii="Arial" w:hAnsi="Arial" w:cs="Arial"/>
          <w:sz w:val="24"/>
          <w:szCs w:val="24"/>
        </w:rPr>
        <w:t xml:space="preserve"> </w:t>
      </w:r>
      <w:r>
        <w:rPr>
          <w:rFonts w:ascii="Arial" w:hAnsi="Arial" w:cs="Arial"/>
          <w:sz w:val="24"/>
          <w:szCs w:val="24"/>
        </w:rPr>
        <w:t xml:space="preserve">August 2025, the financial </w:t>
      </w:r>
      <w:r w:rsidRPr="00767AE3">
        <w:rPr>
          <w:rFonts w:ascii="Arial" w:hAnsi="Arial" w:cs="Arial"/>
          <w:sz w:val="24"/>
          <w:szCs w:val="24"/>
        </w:rPr>
        <w:t>position for 2025</w:t>
      </w:r>
      <w:r w:rsidRPr="6264F2D3">
        <w:rPr>
          <w:rFonts w:ascii="Arial" w:hAnsi="Arial" w:cs="Arial"/>
          <w:sz w:val="24"/>
          <w:szCs w:val="24"/>
        </w:rPr>
        <w:t>/</w:t>
      </w:r>
      <w:r w:rsidRPr="00767AE3">
        <w:rPr>
          <w:rFonts w:ascii="Arial" w:hAnsi="Arial" w:cs="Arial"/>
          <w:sz w:val="24"/>
          <w:szCs w:val="24"/>
        </w:rPr>
        <w:t xml:space="preserve">26 </w:t>
      </w:r>
      <w:r>
        <w:rPr>
          <w:rFonts w:ascii="Arial" w:hAnsi="Arial" w:cs="Arial"/>
          <w:sz w:val="24"/>
          <w:szCs w:val="24"/>
        </w:rPr>
        <w:t>indicates a forecast outturn overspend of</w:t>
      </w:r>
      <w:r w:rsidRPr="00767AE3">
        <w:rPr>
          <w:rFonts w:ascii="Arial" w:hAnsi="Arial" w:cs="Arial"/>
          <w:sz w:val="24"/>
          <w:szCs w:val="24"/>
        </w:rPr>
        <w:t xml:space="preserve"> £</w:t>
      </w:r>
      <w:r>
        <w:rPr>
          <w:rFonts w:ascii="Arial" w:hAnsi="Arial" w:cs="Arial"/>
          <w:sz w:val="24"/>
          <w:szCs w:val="24"/>
        </w:rPr>
        <w:t>0.84</w:t>
      </w:r>
      <w:r w:rsidRPr="00767AE3">
        <w:rPr>
          <w:rFonts w:ascii="Arial" w:hAnsi="Arial" w:cs="Arial"/>
          <w:sz w:val="24"/>
          <w:szCs w:val="24"/>
        </w:rPr>
        <w:t xml:space="preserve">m against </w:t>
      </w:r>
      <w:r>
        <w:rPr>
          <w:rFonts w:ascii="Arial" w:hAnsi="Arial" w:cs="Arial"/>
          <w:sz w:val="24"/>
          <w:szCs w:val="24"/>
        </w:rPr>
        <w:t xml:space="preserve">the approved 2025/26 </w:t>
      </w:r>
      <w:r w:rsidRPr="00767AE3">
        <w:rPr>
          <w:rFonts w:ascii="Arial" w:hAnsi="Arial" w:cs="Arial"/>
          <w:sz w:val="24"/>
          <w:szCs w:val="24"/>
        </w:rPr>
        <w:t>budget.</w:t>
      </w:r>
      <w:r>
        <w:rPr>
          <w:rFonts w:ascii="Arial" w:hAnsi="Arial" w:cs="Arial"/>
          <w:sz w:val="24"/>
          <w:szCs w:val="24"/>
        </w:rPr>
        <w:t xml:space="preserve"> Management are actively working with budget holders to identify and implement mitigating measures, with the aim of bringing the forecast position back in line with the approved budget.</w:t>
      </w:r>
    </w:p>
    <w:p w14:paraId="438B7121" w14:textId="77777777" w:rsidR="00C51C18" w:rsidRPr="001B2582" w:rsidRDefault="00C51C18" w:rsidP="00C51C18">
      <w:pPr>
        <w:pStyle w:val="ListParagraph"/>
        <w:spacing w:after="0" w:line="240" w:lineRule="auto"/>
        <w:ind w:left="709"/>
        <w:rPr>
          <w:rFonts w:ascii="Arial" w:eastAsia="Calibri" w:hAnsi="Arial" w:cs="Arial"/>
          <w:kern w:val="2"/>
          <w:sz w:val="24"/>
          <w:szCs w:val="24"/>
          <w14:ligatures w14:val="standardContextual"/>
        </w:rPr>
      </w:pPr>
    </w:p>
    <w:p w14:paraId="577FD827" w14:textId="27331DB9" w:rsidR="00C51C18" w:rsidRPr="00A840CA" w:rsidRDefault="00C51C18" w:rsidP="00C51C18">
      <w:pPr>
        <w:pStyle w:val="ListParagraph"/>
        <w:numPr>
          <w:ilvl w:val="1"/>
          <w:numId w:val="31"/>
        </w:numPr>
        <w:spacing w:after="0" w:line="240" w:lineRule="auto"/>
        <w:ind w:left="709" w:hanging="709"/>
        <w:rPr>
          <w:rFonts w:ascii="Arial" w:hAnsi="Arial" w:cs="Arial"/>
          <w:sz w:val="24"/>
          <w:szCs w:val="24"/>
        </w:rPr>
      </w:pPr>
      <w:r w:rsidRPr="00447D42">
        <w:rPr>
          <w:rFonts w:ascii="Arial" w:hAnsi="Arial" w:cs="Arial"/>
          <w:sz w:val="24"/>
          <w:szCs w:val="24"/>
        </w:rPr>
        <w:lastRenderedPageBreak/>
        <w:t xml:space="preserve">£4.1m has been transferred to reserves, </w:t>
      </w:r>
      <w:r w:rsidRPr="00447D42">
        <w:rPr>
          <w:rFonts w:ascii="Arial" w:eastAsia="Calibri" w:hAnsi="Arial" w:cs="Arial"/>
          <w:kern w:val="2"/>
          <w:sz w:val="24"/>
          <w:szCs w:val="24"/>
          <w14:ligatures w14:val="standardContextual"/>
        </w:rPr>
        <w:t xml:space="preserve">reflecting specific </w:t>
      </w:r>
      <w:r>
        <w:rPr>
          <w:rFonts w:ascii="Arial" w:eastAsia="Calibri" w:hAnsi="Arial" w:cs="Arial"/>
          <w:kern w:val="2"/>
          <w:sz w:val="24"/>
          <w:szCs w:val="24"/>
          <w14:ligatures w14:val="standardContextual"/>
        </w:rPr>
        <w:t xml:space="preserve">in year </w:t>
      </w:r>
      <w:r w:rsidRPr="00447D42">
        <w:rPr>
          <w:rFonts w:ascii="Arial" w:eastAsia="Calibri" w:hAnsi="Arial" w:cs="Arial"/>
          <w:kern w:val="2"/>
          <w:sz w:val="24"/>
          <w:szCs w:val="24"/>
          <w14:ligatures w14:val="standardContextual"/>
        </w:rPr>
        <w:t>savings achieved through the successful implementation</w:t>
      </w:r>
      <w:r>
        <w:rPr>
          <w:rFonts w:ascii="Arial" w:eastAsia="Calibri" w:hAnsi="Arial" w:cs="Arial"/>
          <w:kern w:val="2"/>
          <w:sz w:val="24"/>
          <w:szCs w:val="24"/>
          <w14:ligatures w14:val="standardContextual"/>
        </w:rPr>
        <w:t xml:space="preserve"> </w:t>
      </w:r>
      <w:r w:rsidRPr="00447D42">
        <w:rPr>
          <w:rFonts w:ascii="Arial" w:eastAsia="Calibri" w:hAnsi="Arial" w:cs="Arial"/>
          <w:kern w:val="2"/>
          <w:sz w:val="24"/>
          <w:szCs w:val="24"/>
          <w14:ligatures w14:val="standardContextual"/>
        </w:rPr>
        <w:t>of priority-based budgeting</w:t>
      </w:r>
      <w:r>
        <w:rPr>
          <w:rFonts w:ascii="Arial" w:eastAsia="Calibri" w:hAnsi="Arial" w:cs="Arial"/>
          <w:kern w:val="2"/>
          <w:sz w:val="24"/>
          <w:szCs w:val="24"/>
          <w14:ligatures w14:val="standardContextual"/>
        </w:rPr>
        <w:t>,</w:t>
      </w:r>
      <w:r w:rsidRPr="00447D42">
        <w:rPr>
          <w:rFonts w:ascii="Arial" w:eastAsia="Calibri" w:hAnsi="Arial" w:cs="Arial"/>
          <w:kern w:val="2"/>
          <w:sz w:val="24"/>
          <w:szCs w:val="24"/>
          <w14:ligatures w14:val="standardContextual"/>
        </w:rPr>
        <w:t xml:space="preserve"> and</w:t>
      </w:r>
      <w:r>
        <w:rPr>
          <w:rFonts w:ascii="Arial" w:eastAsia="Calibri" w:hAnsi="Arial" w:cs="Arial"/>
          <w:kern w:val="2"/>
          <w:sz w:val="24"/>
          <w:szCs w:val="24"/>
          <w14:ligatures w14:val="standardContextual"/>
        </w:rPr>
        <w:t xml:space="preserve"> </w:t>
      </w:r>
      <w:r w:rsidRPr="00447D42">
        <w:rPr>
          <w:rFonts w:ascii="Arial" w:eastAsia="Calibri" w:hAnsi="Arial" w:cs="Arial"/>
          <w:kern w:val="2"/>
          <w:sz w:val="24"/>
          <w:szCs w:val="24"/>
          <w14:ligatures w14:val="standardContextual"/>
        </w:rPr>
        <w:t>prudent financial management</w:t>
      </w:r>
      <w:r>
        <w:rPr>
          <w:rFonts w:ascii="Arial" w:eastAsia="Calibri" w:hAnsi="Arial" w:cs="Arial"/>
          <w:kern w:val="2"/>
          <w:sz w:val="24"/>
          <w:szCs w:val="24"/>
          <w14:ligatures w14:val="standardContextual"/>
        </w:rPr>
        <w:t>. This includes a favourable outcome from the national Motorola court case relating to Airwave, which resulted in a £1.3m budget saving</w:t>
      </w:r>
      <w:r w:rsidRPr="00447D42">
        <w:rPr>
          <w:rFonts w:ascii="Arial" w:eastAsia="Calibri" w:hAnsi="Arial" w:cs="Arial"/>
          <w:kern w:val="2"/>
          <w:sz w:val="24"/>
          <w:szCs w:val="24"/>
          <w14:ligatures w14:val="standardContextual"/>
        </w:rPr>
        <w:t xml:space="preserve">. </w:t>
      </w:r>
      <w:r>
        <w:rPr>
          <w:rFonts w:ascii="Arial" w:eastAsia="Calibri" w:hAnsi="Arial" w:cs="Arial"/>
          <w:kern w:val="2"/>
          <w:sz w:val="24"/>
          <w:szCs w:val="24"/>
          <w14:ligatures w14:val="standardContextual"/>
        </w:rPr>
        <w:t>This strategic approach strengthens the Force’s ability to manage its medium to long term financial position, supporting future stability and resilience.</w:t>
      </w:r>
      <w:r w:rsidRPr="00447D42">
        <w:rPr>
          <w:rFonts w:ascii="Arial" w:eastAsia="Calibri" w:hAnsi="Arial" w:cs="Arial"/>
          <w:kern w:val="2"/>
          <w:sz w:val="24"/>
          <w:szCs w:val="24"/>
          <w14:ligatures w14:val="standardContextual"/>
        </w:rPr>
        <w:t xml:space="preserve"> </w:t>
      </w:r>
    </w:p>
    <w:p w14:paraId="07719C99" w14:textId="77777777" w:rsidR="00B1007F" w:rsidRPr="00A840CA" w:rsidRDefault="00B1007F" w:rsidP="00A840CA">
      <w:pPr>
        <w:pStyle w:val="ListParagraph"/>
        <w:rPr>
          <w:rFonts w:ascii="Arial" w:hAnsi="Arial" w:cs="Arial"/>
          <w:sz w:val="24"/>
          <w:szCs w:val="24"/>
        </w:rPr>
      </w:pPr>
    </w:p>
    <w:p w14:paraId="62F6E863" w14:textId="0B3B324E" w:rsidR="00B1007F" w:rsidRPr="00A840CA" w:rsidRDefault="00B1007F" w:rsidP="00A840CA">
      <w:pPr>
        <w:pStyle w:val="ListParagraph"/>
        <w:numPr>
          <w:ilvl w:val="1"/>
          <w:numId w:val="31"/>
        </w:numPr>
        <w:spacing w:after="0" w:line="240" w:lineRule="auto"/>
        <w:ind w:left="709" w:hanging="709"/>
        <w:rPr>
          <w:rFonts w:ascii="Arial" w:hAnsi="Arial" w:cs="Arial"/>
          <w:sz w:val="24"/>
          <w:szCs w:val="24"/>
        </w:rPr>
      </w:pPr>
      <w:r w:rsidRPr="00A840CA">
        <w:rPr>
          <w:rFonts w:ascii="Arial" w:hAnsi="Arial" w:cs="Arial"/>
          <w:sz w:val="24"/>
          <w:szCs w:val="24"/>
        </w:rPr>
        <w:t xml:space="preserve">The impact of the 4.2% police officer pay award, effective from 1 September 2025, is not yet reflected in the forecast position. The actual cost and updated forecast will be included </w:t>
      </w:r>
      <w:r w:rsidR="00BC1102" w:rsidRPr="00A840CA">
        <w:rPr>
          <w:rFonts w:ascii="Arial" w:hAnsi="Arial" w:cs="Arial"/>
          <w:sz w:val="24"/>
          <w:szCs w:val="24"/>
        </w:rPr>
        <w:t xml:space="preserve">once the </w:t>
      </w:r>
      <w:r w:rsidRPr="00A840CA">
        <w:rPr>
          <w:rFonts w:ascii="Arial" w:hAnsi="Arial" w:cs="Arial"/>
          <w:sz w:val="24"/>
          <w:szCs w:val="24"/>
        </w:rPr>
        <w:t xml:space="preserve">Home Office have confirmed </w:t>
      </w:r>
      <w:r w:rsidR="00A840CA">
        <w:rPr>
          <w:rFonts w:ascii="Arial" w:hAnsi="Arial" w:cs="Arial"/>
          <w:sz w:val="24"/>
          <w:szCs w:val="24"/>
        </w:rPr>
        <w:t>the West Yorkshire</w:t>
      </w:r>
      <w:r w:rsidRPr="00A840CA">
        <w:rPr>
          <w:rFonts w:ascii="Arial" w:hAnsi="Arial" w:cs="Arial"/>
          <w:sz w:val="24"/>
          <w:szCs w:val="24"/>
        </w:rPr>
        <w:t xml:space="preserve"> share of the £120m</w:t>
      </w:r>
      <w:r w:rsidR="00CA3CFD">
        <w:rPr>
          <w:rFonts w:ascii="Arial" w:hAnsi="Arial" w:cs="Arial"/>
          <w:sz w:val="24"/>
          <w:szCs w:val="24"/>
        </w:rPr>
        <w:t xml:space="preserve"> national</w:t>
      </w:r>
      <w:r w:rsidRPr="00A840CA">
        <w:rPr>
          <w:rFonts w:ascii="Arial" w:hAnsi="Arial" w:cs="Arial"/>
          <w:sz w:val="24"/>
          <w:szCs w:val="24"/>
        </w:rPr>
        <w:t xml:space="preserve"> funding allocation.</w:t>
      </w:r>
    </w:p>
    <w:p w14:paraId="5E942FDA" w14:textId="77777777" w:rsidR="00C51C18" w:rsidRDefault="00C51C18" w:rsidP="00C51C18">
      <w:pPr>
        <w:pStyle w:val="ListParagraph"/>
        <w:spacing w:after="0" w:line="240" w:lineRule="auto"/>
        <w:ind w:left="709"/>
        <w:rPr>
          <w:rFonts w:ascii="Arial" w:eastAsia="Calibri" w:hAnsi="Arial" w:cs="Arial"/>
          <w:kern w:val="2"/>
          <w:sz w:val="24"/>
          <w:szCs w:val="24"/>
          <w14:ligatures w14:val="standardContextual"/>
        </w:rPr>
      </w:pPr>
    </w:p>
    <w:p w14:paraId="2F2A898D" w14:textId="0DE23599" w:rsidR="005F04A6" w:rsidRPr="005F04A6" w:rsidRDefault="005F04A6" w:rsidP="005F04A6">
      <w:pPr>
        <w:spacing w:after="0" w:line="240" w:lineRule="auto"/>
        <w:ind w:left="709" w:hanging="709"/>
        <w:rPr>
          <w:rFonts w:ascii="Arial" w:eastAsia="Calibri" w:hAnsi="Arial" w:cs="Arial"/>
          <w:kern w:val="2"/>
          <w:sz w:val="24"/>
          <w:szCs w:val="24"/>
          <w14:ligatures w14:val="standardContextual"/>
        </w:rPr>
      </w:pPr>
      <w:r>
        <w:rPr>
          <w:rFonts w:ascii="Arial" w:eastAsia="Calibri" w:hAnsi="Arial" w:cs="Arial"/>
          <w:kern w:val="2"/>
          <w:sz w:val="24"/>
          <w:szCs w:val="24"/>
          <w14:ligatures w14:val="standardContextual"/>
        </w:rPr>
        <w:t>2.</w:t>
      </w:r>
      <w:r w:rsidR="00BC1102">
        <w:rPr>
          <w:rFonts w:ascii="Arial" w:eastAsia="Calibri" w:hAnsi="Arial" w:cs="Arial"/>
          <w:kern w:val="2"/>
          <w:sz w:val="24"/>
          <w:szCs w:val="24"/>
          <w14:ligatures w14:val="standardContextual"/>
        </w:rPr>
        <w:t>5</w:t>
      </w:r>
      <w:r>
        <w:rPr>
          <w:rFonts w:ascii="Arial" w:eastAsia="Calibri" w:hAnsi="Arial" w:cs="Arial"/>
          <w:kern w:val="2"/>
          <w:sz w:val="24"/>
          <w:szCs w:val="24"/>
          <w14:ligatures w14:val="standardContextual"/>
        </w:rPr>
        <w:tab/>
      </w:r>
      <w:r w:rsidRPr="005F04A6">
        <w:rPr>
          <w:rFonts w:ascii="Arial" w:eastAsia="Calibri" w:hAnsi="Arial" w:cs="Arial"/>
          <w:kern w:val="2"/>
          <w:sz w:val="24"/>
          <w:szCs w:val="24"/>
          <w14:ligatures w14:val="standardContextual"/>
        </w:rPr>
        <w:t>An updated position will be provided to the Panel in February 2026 alongside the proposed budget for 2026/27</w:t>
      </w:r>
      <w:r w:rsidR="00FA7377">
        <w:rPr>
          <w:rFonts w:ascii="Arial" w:eastAsia="Calibri" w:hAnsi="Arial" w:cs="Arial"/>
          <w:kern w:val="2"/>
          <w:sz w:val="24"/>
          <w:szCs w:val="24"/>
          <w14:ligatures w14:val="standardContextual"/>
        </w:rPr>
        <w:t>.</w:t>
      </w:r>
    </w:p>
    <w:p w14:paraId="42B8D99C" w14:textId="094AE9B0" w:rsidR="00DB2198" w:rsidRDefault="00DB2198">
      <w:pPr>
        <w:rPr>
          <w:rFonts w:ascii="Arial" w:hAnsi="Arial" w:cs="Arial"/>
          <w:sz w:val="24"/>
          <w:szCs w:val="24"/>
        </w:rPr>
      </w:pPr>
      <w:r>
        <w:rPr>
          <w:rFonts w:ascii="Arial" w:hAnsi="Arial" w:cs="Arial"/>
          <w:sz w:val="24"/>
          <w:szCs w:val="24"/>
        </w:rPr>
        <w:br w:type="page"/>
      </w:r>
    </w:p>
    <w:p w14:paraId="38CEF691" w14:textId="6CB4E017" w:rsidR="0001417A" w:rsidRPr="0001417A" w:rsidRDefault="0001417A" w:rsidP="0001417A">
      <w:pPr>
        <w:spacing w:after="0" w:line="240" w:lineRule="auto"/>
        <w:rPr>
          <w:rFonts w:ascii="Arial" w:hAnsi="Arial" w:cs="Arial"/>
          <w:sz w:val="24"/>
          <w:szCs w:val="24"/>
        </w:rPr>
      </w:pPr>
      <w:r w:rsidRPr="0001417A">
        <w:rPr>
          <w:rFonts w:ascii="Arial" w:hAnsi="Arial" w:cs="Arial"/>
          <w:b/>
          <w:bCs/>
          <w:sz w:val="24"/>
          <w:szCs w:val="24"/>
        </w:rPr>
        <w:lastRenderedPageBreak/>
        <w:t xml:space="preserve">3. </w:t>
      </w:r>
      <w:r w:rsidRPr="0001417A">
        <w:rPr>
          <w:rFonts w:ascii="Arial" w:hAnsi="Arial" w:cs="Arial"/>
          <w:b/>
          <w:bCs/>
          <w:sz w:val="24"/>
          <w:szCs w:val="24"/>
        </w:rPr>
        <w:tab/>
      </w:r>
      <w:r w:rsidRPr="0001417A">
        <w:rPr>
          <w:rFonts w:ascii="Arial" w:hAnsi="Arial" w:cs="Arial"/>
          <w:b/>
          <w:bCs/>
          <w:sz w:val="24"/>
          <w:szCs w:val="24"/>
          <w:u w:val="single"/>
        </w:rPr>
        <w:t>202</w:t>
      </w:r>
      <w:r>
        <w:rPr>
          <w:rFonts w:ascii="Arial" w:hAnsi="Arial" w:cs="Arial"/>
          <w:b/>
          <w:bCs/>
          <w:sz w:val="24"/>
          <w:szCs w:val="24"/>
          <w:u w:val="single"/>
        </w:rPr>
        <w:t>5</w:t>
      </w:r>
      <w:r w:rsidRPr="0001417A">
        <w:rPr>
          <w:rFonts w:ascii="Arial" w:hAnsi="Arial" w:cs="Arial"/>
          <w:b/>
          <w:bCs/>
          <w:sz w:val="24"/>
          <w:szCs w:val="24"/>
          <w:u w:val="single"/>
        </w:rPr>
        <w:t>/2</w:t>
      </w:r>
      <w:r>
        <w:rPr>
          <w:rFonts w:ascii="Arial" w:hAnsi="Arial" w:cs="Arial"/>
          <w:b/>
          <w:bCs/>
          <w:sz w:val="24"/>
          <w:szCs w:val="24"/>
          <w:u w:val="single"/>
        </w:rPr>
        <w:t>6</w:t>
      </w:r>
      <w:r w:rsidRPr="0001417A">
        <w:rPr>
          <w:rFonts w:ascii="Arial" w:hAnsi="Arial" w:cs="Arial"/>
          <w:b/>
          <w:bCs/>
          <w:sz w:val="24"/>
          <w:szCs w:val="24"/>
          <w:u w:val="single"/>
        </w:rPr>
        <w:t xml:space="preserve"> </w:t>
      </w:r>
      <w:r w:rsidR="00FD0B86">
        <w:rPr>
          <w:rFonts w:ascii="Arial" w:hAnsi="Arial" w:cs="Arial"/>
          <w:b/>
          <w:bCs/>
          <w:sz w:val="24"/>
          <w:szCs w:val="24"/>
          <w:u w:val="single"/>
        </w:rPr>
        <w:t>and Medium Term Financial Forecast update</w:t>
      </w:r>
    </w:p>
    <w:p w14:paraId="28FE3533" w14:textId="77777777" w:rsidR="001439BC" w:rsidRDefault="001439BC" w:rsidP="009D3311">
      <w:pPr>
        <w:spacing w:after="0" w:line="240" w:lineRule="auto"/>
        <w:rPr>
          <w:rFonts w:ascii="Arial" w:hAnsi="Arial" w:cs="Arial"/>
          <w:sz w:val="24"/>
          <w:szCs w:val="24"/>
        </w:rPr>
      </w:pPr>
    </w:p>
    <w:p w14:paraId="4264C777" w14:textId="0105C0CC" w:rsidR="00B86720" w:rsidRDefault="00050530" w:rsidP="00355FBA">
      <w:pPr>
        <w:spacing w:after="0" w:line="240" w:lineRule="auto"/>
        <w:ind w:firstLine="720"/>
        <w:rPr>
          <w:rFonts w:ascii="Arial" w:hAnsi="Arial" w:cs="Arial"/>
          <w:b/>
          <w:bCs/>
          <w:sz w:val="24"/>
          <w:szCs w:val="24"/>
          <w:u w:val="single"/>
        </w:rPr>
      </w:pPr>
      <w:r>
        <w:rPr>
          <w:rFonts w:ascii="Arial" w:hAnsi="Arial" w:cs="Arial"/>
          <w:b/>
          <w:bCs/>
          <w:sz w:val="24"/>
          <w:szCs w:val="24"/>
          <w:u w:val="single"/>
        </w:rPr>
        <w:t>Background</w:t>
      </w:r>
    </w:p>
    <w:p w14:paraId="581B5EE4" w14:textId="77777777" w:rsidR="00B30171" w:rsidRPr="00B30171" w:rsidRDefault="00B30171" w:rsidP="00355FBA">
      <w:pPr>
        <w:spacing w:after="0" w:line="240" w:lineRule="auto"/>
        <w:ind w:firstLine="720"/>
        <w:rPr>
          <w:rFonts w:ascii="Arial" w:hAnsi="Arial" w:cs="Arial"/>
          <w:b/>
          <w:bCs/>
          <w:sz w:val="24"/>
          <w:szCs w:val="24"/>
          <w:u w:val="single"/>
        </w:rPr>
      </w:pPr>
    </w:p>
    <w:p w14:paraId="0FD83094" w14:textId="146DC0CD" w:rsidR="001215A0" w:rsidRDefault="00950526" w:rsidP="001215A0">
      <w:pPr>
        <w:pStyle w:val="ListParagraph"/>
        <w:numPr>
          <w:ilvl w:val="1"/>
          <w:numId w:val="27"/>
        </w:numPr>
        <w:spacing w:after="0" w:line="240" w:lineRule="auto"/>
        <w:ind w:left="709" w:hanging="709"/>
        <w:rPr>
          <w:rFonts w:ascii="Arial" w:hAnsi="Arial" w:cs="Arial"/>
          <w:sz w:val="24"/>
          <w:szCs w:val="24"/>
        </w:rPr>
      </w:pPr>
      <w:r w:rsidRPr="00950526">
        <w:rPr>
          <w:rFonts w:ascii="Arial" w:hAnsi="Arial" w:cs="Arial"/>
          <w:sz w:val="24"/>
          <w:szCs w:val="24"/>
        </w:rPr>
        <w:t>The UK's Autumn Budget for 2025 will be delivered by Chancellor of the Exchequer Rachel Reeves on Wednesday, November 26, 2025. It is the main fiscal event of the year, as the Labour government has committed to holding only one budget annually.</w:t>
      </w:r>
    </w:p>
    <w:p w14:paraId="7E6FBF0C" w14:textId="77777777" w:rsidR="001215A0" w:rsidRDefault="001215A0" w:rsidP="001215A0">
      <w:pPr>
        <w:pStyle w:val="ListParagraph"/>
        <w:spacing w:after="0" w:line="240" w:lineRule="auto"/>
        <w:ind w:left="709"/>
        <w:rPr>
          <w:rFonts w:ascii="Arial" w:hAnsi="Arial" w:cs="Arial"/>
          <w:sz w:val="24"/>
          <w:szCs w:val="24"/>
        </w:rPr>
      </w:pPr>
    </w:p>
    <w:p w14:paraId="2B9D34DA" w14:textId="597E11D2" w:rsidR="00281BD2" w:rsidRDefault="00B86720" w:rsidP="00371D33">
      <w:pPr>
        <w:pStyle w:val="ListParagraph"/>
        <w:numPr>
          <w:ilvl w:val="1"/>
          <w:numId w:val="27"/>
        </w:numPr>
        <w:spacing w:after="0" w:line="240" w:lineRule="auto"/>
        <w:ind w:left="709" w:hanging="709"/>
        <w:rPr>
          <w:rFonts w:ascii="Arial" w:hAnsi="Arial" w:cs="Arial"/>
          <w:sz w:val="24"/>
          <w:szCs w:val="24"/>
        </w:rPr>
      </w:pPr>
      <w:r w:rsidRPr="00D200C2">
        <w:rPr>
          <w:rFonts w:ascii="Arial" w:hAnsi="Arial" w:cs="Arial"/>
          <w:sz w:val="24"/>
          <w:szCs w:val="24"/>
        </w:rPr>
        <w:t>The</w:t>
      </w:r>
      <w:r w:rsidR="00760A56" w:rsidRPr="00D200C2">
        <w:rPr>
          <w:rFonts w:ascii="Arial" w:hAnsi="Arial" w:cs="Arial"/>
          <w:sz w:val="24"/>
          <w:szCs w:val="24"/>
        </w:rPr>
        <w:t xml:space="preserve"> UK's latest inflation rate was 3.8% for the 12 months to August 2025, unchanged from July. This figure represents the Consumer Prices Index (CPI), and it remains the highest rate recorded since January 2024.  </w:t>
      </w:r>
      <w:r w:rsidR="00A1536D">
        <w:rPr>
          <w:rFonts w:ascii="Arial" w:hAnsi="Arial" w:cs="Arial"/>
          <w:sz w:val="24"/>
          <w:szCs w:val="24"/>
        </w:rPr>
        <w:t xml:space="preserve">The </w:t>
      </w:r>
      <w:r w:rsidR="001203DE" w:rsidRPr="001203DE">
        <w:rPr>
          <w:rFonts w:ascii="Arial" w:hAnsi="Arial" w:cs="Arial"/>
          <w:sz w:val="24"/>
          <w:szCs w:val="24"/>
        </w:rPr>
        <w:t xml:space="preserve">Bank of England </w:t>
      </w:r>
      <w:r w:rsidR="00A1536D">
        <w:rPr>
          <w:rFonts w:ascii="Arial" w:hAnsi="Arial" w:cs="Arial"/>
          <w:sz w:val="24"/>
          <w:szCs w:val="24"/>
        </w:rPr>
        <w:t>have</w:t>
      </w:r>
      <w:r w:rsidR="00A1536D" w:rsidRPr="001203DE">
        <w:rPr>
          <w:rFonts w:ascii="Arial" w:hAnsi="Arial" w:cs="Arial"/>
          <w:sz w:val="24"/>
          <w:szCs w:val="24"/>
        </w:rPr>
        <w:t xml:space="preserve"> </w:t>
      </w:r>
      <w:r w:rsidR="001203DE" w:rsidRPr="001203DE">
        <w:rPr>
          <w:rFonts w:ascii="Arial" w:hAnsi="Arial" w:cs="Arial"/>
          <w:sz w:val="24"/>
          <w:szCs w:val="24"/>
        </w:rPr>
        <w:t>stated that there remains uncertainty from global developments, including because of changes in global trade policies. While recent trade agreements mean there is less uncertainty than earlier in the year, we continue to watch closely what this could mean for UK inflation.</w:t>
      </w:r>
    </w:p>
    <w:p w14:paraId="49015028" w14:textId="77777777" w:rsidR="00281BD2" w:rsidRPr="00281BD2" w:rsidRDefault="00281BD2" w:rsidP="00281BD2">
      <w:pPr>
        <w:pStyle w:val="ListParagraph"/>
        <w:rPr>
          <w:rFonts w:ascii="Arial" w:hAnsi="Arial" w:cs="Arial"/>
          <w:b/>
          <w:bCs/>
          <w:sz w:val="24"/>
          <w:szCs w:val="24"/>
        </w:rPr>
      </w:pPr>
    </w:p>
    <w:p w14:paraId="57E58672" w14:textId="78F830B8" w:rsidR="00B426F0" w:rsidRPr="00534726" w:rsidRDefault="00B52EDD">
      <w:pPr>
        <w:pStyle w:val="ListParagraph"/>
        <w:numPr>
          <w:ilvl w:val="1"/>
          <w:numId w:val="27"/>
        </w:numPr>
        <w:spacing w:after="0" w:line="240" w:lineRule="auto"/>
        <w:ind w:left="720" w:hanging="709"/>
        <w:rPr>
          <w:rFonts w:ascii="Arial" w:hAnsi="Arial" w:cs="Arial"/>
          <w:sz w:val="24"/>
          <w:szCs w:val="24"/>
          <w:lang w:val="en-AU"/>
        </w:rPr>
      </w:pPr>
      <w:r w:rsidRPr="00B52EDD">
        <w:rPr>
          <w:rFonts w:ascii="Arial" w:hAnsi="Arial" w:cs="Arial"/>
          <w:sz w:val="24"/>
          <w:szCs w:val="24"/>
        </w:rPr>
        <w:t xml:space="preserve">Over the past year, the government has introduced a range of measures aimed at strengthening the economic framework, managing public finances, and supporting growth. At the </w:t>
      </w:r>
      <w:r w:rsidR="00285B18">
        <w:rPr>
          <w:rFonts w:ascii="Arial" w:hAnsi="Arial" w:cs="Arial"/>
          <w:sz w:val="24"/>
          <w:szCs w:val="24"/>
        </w:rPr>
        <w:t xml:space="preserve">2024 </w:t>
      </w:r>
      <w:r w:rsidRPr="00B52EDD">
        <w:rPr>
          <w:rFonts w:ascii="Arial" w:hAnsi="Arial" w:cs="Arial"/>
          <w:sz w:val="24"/>
          <w:szCs w:val="24"/>
        </w:rPr>
        <w:t xml:space="preserve">Autumn Budget, a fiscal strategy was outlined that included changes to the fiscal framework, with the stated aim of improving transparency, certainty, and stability. This included the introduction of new fiscal rules. </w:t>
      </w:r>
      <w:r w:rsidR="00680A5D">
        <w:rPr>
          <w:rFonts w:ascii="Arial" w:hAnsi="Arial" w:cs="Arial"/>
          <w:sz w:val="24"/>
          <w:szCs w:val="24"/>
        </w:rPr>
        <w:t>The</w:t>
      </w:r>
      <w:r w:rsidR="00303893">
        <w:rPr>
          <w:rFonts w:ascii="Arial" w:hAnsi="Arial" w:cs="Arial"/>
          <w:sz w:val="24"/>
          <w:szCs w:val="24"/>
        </w:rPr>
        <w:t xml:space="preserve"> June 2025</w:t>
      </w:r>
      <w:r w:rsidRPr="00B52EDD">
        <w:rPr>
          <w:rFonts w:ascii="Arial" w:hAnsi="Arial" w:cs="Arial"/>
          <w:sz w:val="24"/>
          <w:szCs w:val="24"/>
        </w:rPr>
        <w:t xml:space="preserve"> </w:t>
      </w:r>
      <w:r w:rsidR="00680A5D">
        <w:rPr>
          <w:rFonts w:ascii="Arial" w:hAnsi="Arial" w:cs="Arial"/>
          <w:sz w:val="24"/>
          <w:szCs w:val="24"/>
        </w:rPr>
        <w:t>Spending Review c</w:t>
      </w:r>
      <w:r w:rsidRPr="00B52EDD">
        <w:rPr>
          <w:rFonts w:ascii="Arial" w:hAnsi="Arial" w:cs="Arial"/>
          <w:sz w:val="24"/>
          <w:szCs w:val="24"/>
        </w:rPr>
        <w:t xml:space="preserve">onfirmed </w:t>
      </w:r>
      <w:r w:rsidR="00680A5D">
        <w:rPr>
          <w:rFonts w:ascii="Arial" w:hAnsi="Arial" w:cs="Arial"/>
          <w:sz w:val="24"/>
          <w:szCs w:val="24"/>
        </w:rPr>
        <w:t>government’s</w:t>
      </w:r>
      <w:r w:rsidRPr="00B52EDD">
        <w:rPr>
          <w:rFonts w:ascii="Arial" w:hAnsi="Arial" w:cs="Arial"/>
          <w:sz w:val="24"/>
          <w:szCs w:val="24"/>
        </w:rPr>
        <w:t xml:space="preserve"> spending plans </w:t>
      </w:r>
      <w:r w:rsidR="00DD1D10">
        <w:rPr>
          <w:rFonts w:ascii="Arial" w:hAnsi="Arial" w:cs="Arial"/>
          <w:sz w:val="24"/>
          <w:szCs w:val="24"/>
        </w:rPr>
        <w:t>including departmental budgets for day-to-day spending until 2028-29 and for capital investment until 2029-30</w:t>
      </w:r>
      <w:r w:rsidRPr="00B52EDD">
        <w:rPr>
          <w:rFonts w:ascii="Arial" w:hAnsi="Arial" w:cs="Arial"/>
          <w:sz w:val="24"/>
          <w:szCs w:val="24"/>
        </w:rPr>
        <w:t>.</w:t>
      </w:r>
    </w:p>
    <w:p w14:paraId="5666B074" w14:textId="77777777" w:rsidR="00534726" w:rsidRPr="00534726" w:rsidRDefault="00534726" w:rsidP="00534726">
      <w:pPr>
        <w:pStyle w:val="ListParagraph"/>
        <w:rPr>
          <w:rFonts w:ascii="Arial" w:hAnsi="Arial" w:cs="Arial"/>
          <w:sz w:val="24"/>
          <w:szCs w:val="24"/>
          <w:lang w:val="en-AU"/>
        </w:rPr>
      </w:pPr>
    </w:p>
    <w:p w14:paraId="096081F8" w14:textId="65843FA1" w:rsidR="00534726" w:rsidRDefault="002159DE">
      <w:pPr>
        <w:pStyle w:val="ListParagraph"/>
        <w:numPr>
          <w:ilvl w:val="1"/>
          <w:numId w:val="27"/>
        </w:numPr>
        <w:spacing w:after="0" w:line="240" w:lineRule="auto"/>
        <w:ind w:left="720" w:hanging="709"/>
        <w:rPr>
          <w:rFonts w:ascii="Arial" w:hAnsi="Arial" w:cs="Arial"/>
          <w:sz w:val="24"/>
          <w:szCs w:val="24"/>
          <w:lang w:val="en-AU"/>
        </w:rPr>
      </w:pPr>
      <w:r w:rsidRPr="002159DE">
        <w:rPr>
          <w:rFonts w:ascii="Arial" w:hAnsi="Arial" w:cs="Arial"/>
          <w:sz w:val="24"/>
          <w:szCs w:val="24"/>
          <w:lang w:val="en-AU"/>
        </w:rPr>
        <w:t>Police spending power</w:t>
      </w:r>
      <w:r w:rsidR="00BC1102">
        <w:rPr>
          <w:rFonts w:ascii="Arial" w:hAnsi="Arial" w:cs="Arial"/>
          <w:sz w:val="24"/>
          <w:szCs w:val="24"/>
          <w:lang w:val="en-AU"/>
        </w:rPr>
        <w:t>*</w:t>
      </w:r>
      <w:r w:rsidRPr="002159DE">
        <w:rPr>
          <w:rFonts w:ascii="Arial" w:hAnsi="Arial" w:cs="Arial"/>
          <w:sz w:val="24"/>
          <w:szCs w:val="24"/>
          <w:lang w:val="en-AU"/>
        </w:rPr>
        <w:t xml:space="preserve"> will increase by an average 2.3% per year in real terms over the spending review period. </w:t>
      </w:r>
      <w:r w:rsidR="00C7574F">
        <w:rPr>
          <w:rFonts w:ascii="Arial" w:hAnsi="Arial" w:cs="Arial"/>
          <w:sz w:val="24"/>
          <w:szCs w:val="24"/>
          <w:lang w:val="en-AU"/>
        </w:rPr>
        <w:t>The stated aims are to</w:t>
      </w:r>
      <w:r w:rsidRPr="002159DE" w:rsidDel="00C7574F">
        <w:rPr>
          <w:rFonts w:ascii="Arial" w:hAnsi="Arial" w:cs="Arial"/>
          <w:sz w:val="24"/>
          <w:szCs w:val="24"/>
          <w:lang w:val="en-AU"/>
        </w:rPr>
        <w:t xml:space="preserve"> </w:t>
      </w:r>
      <w:r w:rsidRPr="002159DE">
        <w:rPr>
          <w:rFonts w:ascii="Arial" w:hAnsi="Arial" w:cs="Arial"/>
          <w:sz w:val="24"/>
          <w:szCs w:val="24"/>
          <w:lang w:val="en-AU"/>
        </w:rPr>
        <w:t>support frontline policing levels across England and Wales and help restore public confidence in policing. This reflects the government’s Plan for Change commitment to put an additional 13,000 police officers, police community support officers and special constables into neighbourhood policing roles over this Parliament and help keep communities safe.</w:t>
      </w:r>
      <w:r w:rsidR="009726F1">
        <w:rPr>
          <w:rFonts w:ascii="Arial" w:hAnsi="Arial" w:cs="Arial"/>
          <w:sz w:val="24"/>
          <w:szCs w:val="24"/>
          <w:lang w:val="en-AU"/>
        </w:rPr>
        <w:t xml:space="preserve"> </w:t>
      </w:r>
      <w:r w:rsidR="008440A3" w:rsidRPr="008440A3">
        <w:rPr>
          <w:rFonts w:ascii="Arial" w:hAnsi="Arial" w:cs="Arial"/>
          <w:sz w:val="24"/>
          <w:szCs w:val="24"/>
          <w:lang w:val="en-AU"/>
        </w:rPr>
        <w:t>We are awaiting further detail on how individual force budgets will be adjusted to reflect the funding increase. It is possible that any additional funding may come with new requirements or expectations, which could result in additional costs for forces.</w:t>
      </w:r>
    </w:p>
    <w:p w14:paraId="0FE497C4" w14:textId="77777777" w:rsidR="00E634F4" w:rsidRDefault="00E634F4" w:rsidP="00E634F4">
      <w:pPr>
        <w:spacing w:after="0" w:line="240" w:lineRule="auto"/>
        <w:ind w:left="720"/>
        <w:rPr>
          <w:rFonts w:ascii="Arial" w:hAnsi="Arial" w:cs="Arial"/>
          <w:i/>
          <w:iCs/>
          <w:sz w:val="20"/>
          <w:szCs w:val="20"/>
          <w:lang w:val="en-AU"/>
        </w:rPr>
      </w:pPr>
    </w:p>
    <w:p w14:paraId="5F76D8A3" w14:textId="3B6E41F1" w:rsidR="00E634F4" w:rsidRPr="00A840CA" w:rsidRDefault="00E634F4" w:rsidP="00A840CA">
      <w:pPr>
        <w:spacing w:after="0" w:line="240" w:lineRule="auto"/>
        <w:ind w:left="720"/>
        <w:rPr>
          <w:rFonts w:ascii="Arial" w:hAnsi="Arial" w:cs="Arial"/>
          <w:i/>
          <w:iCs/>
          <w:sz w:val="20"/>
          <w:szCs w:val="20"/>
          <w:lang w:val="en-AU"/>
        </w:rPr>
      </w:pPr>
      <w:r w:rsidRPr="00A840CA">
        <w:rPr>
          <w:rFonts w:ascii="Arial" w:hAnsi="Arial" w:cs="Arial"/>
          <w:i/>
          <w:iCs/>
          <w:sz w:val="20"/>
          <w:szCs w:val="20"/>
          <w:lang w:val="en-AU"/>
        </w:rPr>
        <w:t>*Police core spending power refers to the projected total police settlement funding including counter terrorism funding. This includes projected spending from additional income, including estimated funding from the police council tax precept.</w:t>
      </w:r>
    </w:p>
    <w:p w14:paraId="7410EA38" w14:textId="77777777" w:rsidR="00534726" w:rsidRPr="00534726" w:rsidRDefault="00534726" w:rsidP="00534726">
      <w:pPr>
        <w:spacing w:after="0" w:line="240" w:lineRule="auto"/>
        <w:rPr>
          <w:rFonts w:ascii="Arial" w:hAnsi="Arial" w:cs="Arial"/>
          <w:sz w:val="24"/>
          <w:szCs w:val="24"/>
          <w:lang w:val="en-AU"/>
        </w:rPr>
      </w:pPr>
    </w:p>
    <w:p w14:paraId="47E19788" w14:textId="460D407F" w:rsidR="00472912" w:rsidRDefault="00F37164">
      <w:pPr>
        <w:pStyle w:val="ListParagraph"/>
        <w:numPr>
          <w:ilvl w:val="1"/>
          <w:numId w:val="27"/>
        </w:numPr>
        <w:spacing w:after="0" w:line="240" w:lineRule="auto"/>
        <w:ind w:left="720" w:hanging="709"/>
        <w:rPr>
          <w:rFonts w:ascii="Arial" w:hAnsi="Arial" w:cs="Arial"/>
          <w:sz w:val="24"/>
          <w:szCs w:val="24"/>
          <w:lang w:val="en-AU"/>
        </w:rPr>
      </w:pPr>
      <w:r w:rsidRPr="00951F60">
        <w:rPr>
          <w:rFonts w:ascii="Arial" w:hAnsi="Arial" w:cs="Arial"/>
          <w:sz w:val="24"/>
          <w:szCs w:val="24"/>
          <w:lang w:val="en-AU"/>
        </w:rPr>
        <w:t>This paper outlines the updated Medium Term Financial Forecast for Revenue for the financial years 202</w:t>
      </w:r>
      <w:r w:rsidR="002159DE">
        <w:rPr>
          <w:rFonts w:ascii="Arial" w:hAnsi="Arial" w:cs="Arial"/>
          <w:sz w:val="24"/>
          <w:szCs w:val="24"/>
          <w:lang w:val="en-AU"/>
        </w:rPr>
        <w:t>6</w:t>
      </w:r>
      <w:r w:rsidRPr="00951F60">
        <w:rPr>
          <w:rFonts w:ascii="Arial" w:hAnsi="Arial" w:cs="Arial"/>
          <w:sz w:val="24"/>
          <w:szCs w:val="24"/>
          <w:lang w:val="en-AU"/>
        </w:rPr>
        <w:t>/202</w:t>
      </w:r>
      <w:r w:rsidR="002159DE">
        <w:rPr>
          <w:rFonts w:ascii="Arial" w:hAnsi="Arial" w:cs="Arial"/>
          <w:sz w:val="24"/>
          <w:szCs w:val="24"/>
          <w:lang w:val="en-AU"/>
        </w:rPr>
        <w:t>7</w:t>
      </w:r>
      <w:r w:rsidRPr="00951F60">
        <w:rPr>
          <w:rFonts w:ascii="Arial" w:hAnsi="Arial" w:cs="Arial"/>
          <w:sz w:val="24"/>
          <w:szCs w:val="24"/>
          <w:lang w:val="en-AU"/>
        </w:rPr>
        <w:t xml:space="preserve"> to 202</w:t>
      </w:r>
      <w:r w:rsidR="002159DE">
        <w:rPr>
          <w:rFonts w:ascii="Arial" w:hAnsi="Arial" w:cs="Arial"/>
          <w:sz w:val="24"/>
          <w:szCs w:val="24"/>
          <w:lang w:val="en-AU"/>
        </w:rPr>
        <w:t>8</w:t>
      </w:r>
      <w:r w:rsidRPr="00951F60">
        <w:rPr>
          <w:rFonts w:ascii="Arial" w:hAnsi="Arial" w:cs="Arial"/>
          <w:sz w:val="24"/>
          <w:szCs w:val="24"/>
          <w:lang w:val="en-AU"/>
        </w:rPr>
        <w:t>/2</w:t>
      </w:r>
      <w:r w:rsidR="002159DE">
        <w:rPr>
          <w:rFonts w:ascii="Arial" w:hAnsi="Arial" w:cs="Arial"/>
          <w:sz w:val="24"/>
          <w:szCs w:val="24"/>
          <w:lang w:val="en-AU"/>
        </w:rPr>
        <w:t>9</w:t>
      </w:r>
      <w:r w:rsidRPr="00951F60">
        <w:rPr>
          <w:rFonts w:ascii="Arial" w:hAnsi="Arial" w:cs="Arial"/>
          <w:sz w:val="24"/>
          <w:szCs w:val="24"/>
          <w:lang w:val="en-AU"/>
        </w:rPr>
        <w:t xml:space="preserve">, highlighting </w:t>
      </w:r>
      <w:r w:rsidR="001C581B">
        <w:rPr>
          <w:rFonts w:ascii="Arial" w:hAnsi="Arial" w:cs="Arial"/>
          <w:sz w:val="24"/>
          <w:szCs w:val="24"/>
          <w:lang w:val="en-AU"/>
        </w:rPr>
        <w:t xml:space="preserve">changes and </w:t>
      </w:r>
      <w:r w:rsidRPr="00951F60">
        <w:rPr>
          <w:rFonts w:ascii="Arial" w:hAnsi="Arial" w:cs="Arial"/>
          <w:sz w:val="24"/>
          <w:szCs w:val="24"/>
          <w:lang w:val="en-AU"/>
        </w:rPr>
        <w:t xml:space="preserve">additional pressures since the </w:t>
      </w:r>
      <w:r w:rsidR="00765570" w:rsidRPr="00951F60">
        <w:rPr>
          <w:rFonts w:ascii="Arial" w:hAnsi="Arial" w:cs="Arial"/>
          <w:sz w:val="24"/>
          <w:szCs w:val="24"/>
          <w:lang w:val="en-AU"/>
        </w:rPr>
        <w:t xml:space="preserve">previous </w:t>
      </w:r>
      <w:r w:rsidRPr="00951F60">
        <w:rPr>
          <w:rFonts w:ascii="Arial" w:hAnsi="Arial" w:cs="Arial"/>
          <w:sz w:val="24"/>
          <w:szCs w:val="24"/>
          <w:lang w:val="en-AU"/>
        </w:rPr>
        <w:t>update</w:t>
      </w:r>
      <w:r w:rsidR="0000355A" w:rsidRPr="00951F60">
        <w:rPr>
          <w:rFonts w:ascii="Arial" w:hAnsi="Arial" w:cs="Arial"/>
          <w:sz w:val="24"/>
          <w:szCs w:val="24"/>
          <w:lang w:val="en-AU"/>
        </w:rPr>
        <w:t xml:space="preserve">.  The </w:t>
      </w:r>
      <w:r w:rsidR="00CF1079" w:rsidRPr="00951F60">
        <w:rPr>
          <w:rFonts w:ascii="Arial" w:hAnsi="Arial" w:cs="Arial"/>
          <w:sz w:val="24"/>
          <w:szCs w:val="24"/>
          <w:lang w:val="en-AU"/>
        </w:rPr>
        <w:t xml:space="preserve">proposed budget and precept will be provided to the February </w:t>
      </w:r>
      <w:r w:rsidR="00866341">
        <w:rPr>
          <w:rFonts w:ascii="Arial" w:hAnsi="Arial" w:cs="Arial"/>
          <w:sz w:val="24"/>
          <w:szCs w:val="24"/>
          <w:lang w:val="en-AU"/>
        </w:rPr>
        <w:t xml:space="preserve">2026 </w:t>
      </w:r>
      <w:r w:rsidR="00CF1079" w:rsidRPr="00951F60">
        <w:rPr>
          <w:rFonts w:ascii="Arial" w:hAnsi="Arial" w:cs="Arial"/>
          <w:sz w:val="24"/>
          <w:szCs w:val="24"/>
          <w:lang w:val="en-AU"/>
        </w:rPr>
        <w:t>meeting</w:t>
      </w:r>
      <w:r w:rsidR="00765570" w:rsidRPr="00951F60">
        <w:rPr>
          <w:rFonts w:ascii="Arial" w:hAnsi="Arial" w:cs="Arial"/>
          <w:sz w:val="24"/>
          <w:szCs w:val="24"/>
          <w:lang w:val="en-AU"/>
        </w:rPr>
        <w:t>,</w:t>
      </w:r>
      <w:r w:rsidR="00CF1079" w:rsidRPr="00951F60">
        <w:rPr>
          <w:rFonts w:ascii="Arial" w:hAnsi="Arial" w:cs="Arial"/>
          <w:sz w:val="24"/>
          <w:szCs w:val="24"/>
          <w:lang w:val="en-AU"/>
        </w:rPr>
        <w:t xml:space="preserve"> following consultation on the precept</w:t>
      </w:r>
      <w:r w:rsidR="00F20A4A" w:rsidRPr="00951F60">
        <w:rPr>
          <w:rFonts w:ascii="Arial" w:hAnsi="Arial" w:cs="Arial"/>
          <w:sz w:val="24"/>
          <w:szCs w:val="24"/>
          <w:lang w:val="en-AU"/>
        </w:rPr>
        <w:t xml:space="preserve"> over December/January. </w:t>
      </w:r>
    </w:p>
    <w:p w14:paraId="6179343B" w14:textId="77777777" w:rsidR="00380EBB" w:rsidRPr="00951F60" w:rsidRDefault="00380EBB" w:rsidP="00380EBB">
      <w:pPr>
        <w:pStyle w:val="ListParagraph"/>
        <w:spacing w:after="0" w:line="240" w:lineRule="auto"/>
        <w:rPr>
          <w:rFonts w:ascii="Arial" w:hAnsi="Arial" w:cs="Arial"/>
          <w:sz w:val="24"/>
          <w:szCs w:val="24"/>
          <w:lang w:val="en-AU"/>
        </w:rPr>
      </w:pPr>
    </w:p>
    <w:p w14:paraId="16466647" w14:textId="215B634F" w:rsidR="2D7164C8" w:rsidRDefault="2D7164C8" w:rsidP="2D7164C8">
      <w:pPr>
        <w:pStyle w:val="ListParagraph"/>
        <w:spacing w:after="0" w:line="240" w:lineRule="auto"/>
        <w:rPr>
          <w:rFonts w:ascii="Arial" w:hAnsi="Arial" w:cs="Arial"/>
          <w:sz w:val="24"/>
          <w:szCs w:val="24"/>
          <w:lang w:val="en-AU"/>
        </w:rPr>
      </w:pPr>
    </w:p>
    <w:p w14:paraId="3DE780CB" w14:textId="77777777" w:rsidR="00DD72A1" w:rsidRDefault="00DD72A1" w:rsidP="2D7164C8">
      <w:pPr>
        <w:pStyle w:val="ListParagraph"/>
        <w:spacing w:after="0" w:line="240" w:lineRule="auto"/>
        <w:rPr>
          <w:rFonts w:ascii="Arial" w:hAnsi="Arial" w:cs="Arial"/>
          <w:sz w:val="24"/>
          <w:szCs w:val="24"/>
          <w:lang w:val="en-AU"/>
        </w:rPr>
      </w:pPr>
    </w:p>
    <w:p w14:paraId="677FDE24" w14:textId="77777777" w:rsidR="00DD72A1" w:rsidRDefault="00DD72A1" w:rsidP="2D7164C8">
      <w:pPr>
        <w:pStyle w:val="ListParagraph"/>
        <w:spacing w:after="0" w:line="240" w:lineRule="auto"/>
        <w:rPr>
          <w:rFonts w:ascii="Arial" w:hAnsi="Arial" w:cs="Arial"/>
          <w:sz w:val="24"/>
          <w:szCs w:val="24"/>
          <w:lang w:val="en-AU"/>
        </w:rPr>
      </w:pPr>
    </w:p>
    <w:p w14:paraId="0AD46C16" w14:textId="69E78E33" w:rsidR="2D7164C8" w:rsidRDefault="2D7164C8" w:rsidP="2D7164C8">
      <w:pPr>
        <w:pStyle w:val="ListParagraph"/>
        <w:spacing w:after="0" w:line="240" w:lineRule="auto"/>
        <w:rPr>
          <w:rFonts w:ascii="Arial" w:hAnsi="Arial" w:cs="Arial"/>
          <w:sz w:val="24"/>
          <w:szCs w:val="24"/>
          <w:lang w:val="en-AU"/>
        </w:rPr>
      </w:pPr>
    </w:p>
    <w:p w14:paraId="70CE8942" w14:textId="1BE0FDE5" w:rsidR="2D7164C8" w:rsidRDefault="2D7164C8" w:rsidP="2D7164C8">
      <w:pPr>
        <w:pStyle w:val="ListParagraph"/>
        <w:spacing w:after="0" w:line="240" w:lineRule="auto"/>
        <w:rPr>
          <w:rFonts w:ascii="Arial" w:hAnsi="Arial" w:cs="Arial"/>
          <w:sz w:val="24"/>
          <w:szCs w:val="24"/>
          <w:lang w:val="en-AU"/>
        </w:rPr>
      </w:pPr>
    </w:p>
    <w:p w14:paraId="6360B2AB" w14:textId="12DDC972" w:rsidR="2D7164C8" w:rsidRDefault="2D7164C8" w:rsidP="2D7164C8">
      <w:pPr>
        <w:pStyle w:val="ListParagraph"/>
        <w:spacing w:after="0" w:line="240" w:lineRule="auto"/>
        <w:rPr>
          <w:rFonts w:ascii="Arial" w:hAnsi="Arial" w:cs="Arial"/>
          <w:sz w:val="24"/>
          <w:szCs w:val="24"/>
          <w:lang w:val="en-AU"/>
        </w:rPr>
      </w:pPr>
    </w:p>
    <w:p w14:paraId="55D97A71" w14:textId="0FFC42BD" w:rsidR="00472912" w:rsidRDefault="00472912" w:rsidP="00472912">
      <w:pPr>
        <w:spacing w:after="0" w:line="240" w:lineRule="auto"/>
        <w:rPr>
          <w:rFonts w:ascii="Arial" w:hAnsi="Arial" w:cs="Arial"/>
          <w:b/>
          <w:bCs/>
          <w:sz w:val="24"/>
          <w:szCs w:val="24"/>
        </w:rPr>
      </w:pPr>
      <w:r w:rsidRPr="00472912">
        <w:rPr>
          <w:rFonts w:ascii="Arial" w:hAnsi="Arial" w:cs="Arial"/>
          <w:b/>
          <w:bCs/>
          <w:sz w:val="24"/>
          <w:szCs w:val="24"/>
          <w:lang w:val="en-AU"/>
        </w:rPr>
        <w:lastRenderedPageBreak/>
        <w:t>4.</w:t>
      </w:r>
      <w:r>
        <w:rPr>
          <w:rFonts w:ascii="Arial" w:hAnsi="Arial" w:cs="Arial"/>
          <w:b/>
          <w:bCs/>
          <w:sz w:val="24"/>
          <w:szCs w:val="24"/>
          <w:lang w:val="en-AU"/>
        </w:rPr>
        <w:tab/>
      </w:r>
      <w:r w:rsidRPr="00472912">
        <w:rPr>
          <w:rFonts w:ascii="Arial" w:hAnsi="Arial" w:cs="Arial"/>
          <w:b/>
          <w:bCs/>
          <w:sz w:val="24"/>
          <w:szCs w:val="24"/>
        </w:rPr>
        <w:t>REPORT DETAILS</w:t>
      </w:r>
    </w:p>
    <w:p w14:paraId="54ECE291" w14:textId="77777777" w:rsidR="00A36B1C" w:rsidRDefault="00A36B1C" w:rsidP="00472912">
      <w:pPr>
        <w:spacing w:after="0" w:line="240" w:lineRule="auto"/>
        <w:rPr>
          <w:rFonts w:ascii="Arial" w:hAnsi="Arial" w:cs="Arial"/>
          <w:b/>
          <w:bCs/>
          <w:sz w:val="24"/>
          <w:szCs w:val="24"/>
        </w:rPr>
      </w:pPr>
    </w:p>
    <w:p w14:paraId="3D29C54D" w14:textId="7628BA1B" w:rsidR="00A36B1C" w:rsidRPr="00A36B1C" w:rsidRDefault="00A36B1C" w:rsidP="00A36B1C">
      <w:pPr>
        <w:spacing w:after="0" w:line="240" w:lineRule="auto"/>
        <w:rPr>
          <w:rFonts w:ascii="Arial" w:hAnsi="Arial" w:cs="Arial"/>
          <w:sz w:val="24"/>
          <w:szCs w:val="24"/>
          <w:lang w:val="en-AU"/>
        </w:rPr>
      </w:pPr>
      <w:r>
        <w:rPr>
          <w:rFonts w:ascii="Arial" w:hAnsi="Arial" w:cs="Arial"/>
          <w:b/>
          <w:bCs/>
          <w:sz w:val="24"/>
          <w:szCs w:val="24"/>
        </w:rPr>
        <w:t>4.1</w:t>
      </w:r>
      <w:r>
        <w:rPr>
          <w:rFonts w:ascii="Arial" w:hAnsi="Arial" w:cs="Arial"/>
          <w:b/>
          <w:bCs/>
          <w:sz w:val="24"/>
          <w:szCs w:val="24"/>
        </w:rPr>
        <w:tab/>
      </w:r>
      <w:r w:rsidRPr="00A36B1C">
        <w:rPr>
          <w:rFonts w:ascii="Arial" w:hAnsi="Arial" w:cs="Arial"/>
          <w:b/>
          <w:bCs/>
          <w:sz w:val="24"/>
          <w:szCs w:val="24"/>
          <w:lang w:val="en-AU"/>
        </w:rPr>
        <w:t>Revenue M</w:t>
      </w:r>
      <w:r>
        <w:rPr>
          <w:rFonts w:ascii="Arial" w:hAnsi="Arial" w:cs="Arial"/>
          <w:b/>
          <w:bCs/>
          <w:sz w:val="24"/>
          <w:szCs w:val="24"/>
          <w:lang w:val="en-AU"/>
        </w:rPr>
        <w:t>edium Term Financial Forecast</w:t>
      </w:r>
    </w:p>
    <w:p w14:paraId="28F6CDF8" w14:textId="77777777" w:rsidR="00A36B1C" w:rsidRDefault="00A36B1C" w:rsidP="00A36B1C">
      <w:pPr>
        <w:spacing w:after="0" w:line="240" w:lineRule="auto"/>
        <w:ind w:left="720"/>
        <w:rPr>
          <w:rFonts w:ascii="Arial" w:hAnsi="Arial" w:cs="Arial"/>
          <w:sz w:val="24"/>
          <w:szCs w:val="24"/>
          <w:lang w:val="en-AU"/>
        </w:rPr>
      </w:pPr>
    </w:p>
    <w:p w14:paraId="0682E4B5" w14:textId="25A60A1B" w:rsidR="00A36B1C" w:rsidRPr="00A36B1C" w:rsidRDefault="2206631F" w:rsidP="1E957EAE">
      <w:pPr>
        <w:spacing w:after="0" w:line="240" w:lineRule="auto"/>
        <w:ind w:left="720"/>
        <w:rPr>
          <w:rFonts w:ascii="Arial" w:hAnsi="Arial" w:cs="Arial"/>
          <w:sz w:val="24"/>
          <w:szCs w:val="24"/>
        </w:rPr>
      </w:pPr>
      <w:r w:rsidRPr="4D26AF23">
        <w:rPr>
          <w:rFonts w:ascii="Arial" w:hAnsi="Arial" w:cs="Arial"/>
          <w:sz w:val="24"/>
          <w:szCs w:val="24"/>
        </w:rPr>
        <w:t xml:space="preserve">The revenue Medium Term Financial Forecast (MTFF) </w:t>
      </w:r>
      <w:r w:rsidR="13DC2867" w:rsidRPr="4D26AF23">
        <w:rPr>
          <w:rFonts w:ascii="Arial" w:hAnsi="Arial" w:cs="Arial"/>
          <w:sz w:val="24"/>
          <w:szCs w:val="24"/>
        </w:rPr>
        <w:t xml:space="preserve">has been updated to incorporate additional pressures, savings and assumptions identified since the </w:t>
      </w:r>
      <w:r w:rsidR="1D56E4ED" w:rsidRPr="4D26AF23">
        <w:rPr>
          <w:rFonts w:ascii="Arial" w:hAnsi="Arial" w:cs="Arial"/>
          <w:sz w:val="24"/>
          <w:szCs w:val="24"/>
        </w:rPr>
        <w:t>budget was set</w:t>
      </w:r>
      <w:r w:rsidR="13DC2867" w:rsidRPr="4D26AF23">
        <w:rPr>
          <w:rFonts w:ascii="Arial" w:hAnsi="Arial" w:cs="Arial"/>
          <w:sz w:val="24"/>
          <w:szCs w:val="24"/>
        </w:rPr>
        <w:t>. The revised forecast for 202</w:t>
      </w:r>
      <w:r w:rsidR="3F861F2B" w:rsidRPr="4D26AF23">
        <w:rPr>
          <w:rFonts w:ascii="Arial" w:hAnsi="Arial" w:cs="Arial"/>
          <w:sz w:val="24"/>
          <w:szCs w:val="24"/>
        </w:rPr>
        <w:t>6</w:t>
      </w:r>
      <w:r w:rsidR="13DC2867" w:rsidRPr="4D26AF23">
        <w:rPr>
          <w:rFonts w:ascii="Arial" w:hAnsi="Arial" w:cs="Arial"/>
          <w:sz w:val="24"/>
          <w:szCs w:val="24"/>
        </w:rPr>
        <w:t>/2</w:t>
      </w:r>
      <w:r w:rsidR="3F861F2B" w:rsidRPr="4D26AF23">
        <w:rPr>
          <w:rFonts w:ascii="Arial" w:hAnsi="Arial" w:cs="Arial"/>
          <w:sz w:val="24"/>
          <w:szCs w:val="24"/>
        </w:rPr>
        <w:t>7</w:t>
      </w:r>
      <w:r w:rsidR="13DC2867" w:rsidRPr="4D26AF23">
        <w:rPr>
          <w:rFonts w:ascii="Arial" w:hAnsi="Arial" w:cs="Arial"/>
          <w:sz w:val="24"/>
          <w:szCs w:val="24"/>
        </w:rPr>
        <w:t xml:space="preserve"> now </w:t>
      </w:r>
      <w:r w:rsidR="005C5DC9" w:rsidRPr="4D26AF23">
        <w:rPr>
          <w:rFonts w:ascii="Arial" w:hAnsi="Arial" w:cs="Arial"/>
          <w:sz w:val="24"/>
          <w:szCs w:val="24"/>
        </w:rPr>
        <w:t xml:space="preserve">indicates </w:t>
      </w:r>
      <w:r w:rsidR="13DC2867" w:rsidRPr="4D26AF23">
        <w:rPr>
          <w:rFonts w:ascii="Arial" w:hAnsi="Arial" w:cs="Arial"/>
          <w:sz w:val="24"/>
          <w:szCs w:val="24"/>
        </w:rPr>
        <w:t>a deficit of £1</w:t>
      </w:r>
      <w:r w:rsidR="46F0B565" w:rsidRPr="4D26AF23">
        <w:rPr>
          <w:rFonts w:ascii="Arial" w:hAnsi="Arial" w:cs="Arial"/>
          <w:sz w:val="24"/>
          <w:szCs w:val="24"/>
        </w:rPr>
        <w:t>0</w:t>
      </w:r>
      <w:r w:rsidR="13DC2867" w:rsidRPr="4D26AF23">
        <w:rPr>
          <w:rFonts w:ascii="Arial" w:hAnsi="Arial" w:cs="Arial"/>
          <w:sz w:val="24"/>
          <w:szCs w:val="24"/>
        </w:rPr>
        <w:t>.</w:t>
      </w:r>
      <w:r w:rsidR="00B3709E" w:rsidRPr="4D26AF23">
        <w:rPr>
          <w:rFonts w:ascii="Arial" w:hAnsi="Arial" w:cs="Arial"/>
          <w:sz w:val="24"/>
          <w:szCs w:val="24"/>
        </w:rPr>
        <w:t>796m</w:t>
      </w:r>
      <w:r w:rsidR="1D72102B" w:rsidRPr="4D26AF23">
        <w:rPr>
          <w:rFonts w:ascii="Arial" w:hAnsi="Arial" w:cs="Arial"/>
          <w:sz w:val="24"/>
          <w:szCs w:val="24"/>
        </w:rPr>
        <w:t>, based on</w:t>
      </w:r>
      <w:r w:rsidR="0FC16FCB" w:rsidRPr="4D26AF23">
        <w:rPr>
          <w:rFonts w:ascii="Arial" w:hAnsi="Arial" w:cs="Arial"/>
          <w:sz w:val="24"/>
          <w:szCs w:val="24"/>
        </w:rPr>
        <w:t xml:space="preserve"> an </w:t>
      </w:r>
      <w:r w:rsidR="6715954B" w:rsidRPr="4D26AF23">
        <w:rPr>
          <w:rFonts w:ascii="Arial" w:hAnsi="Arial" w:cs="Arial"/>
          <w:sz w:val="24"/>
          <w:szCs w:val="24"/>
        </w:rPr>
        <w:t xml:space="preserve">increase to the </w:t>
      </w:r>
      <w:r w:rsidR="1D72102B" w:rsidRPr="4D26AF23">
        <w:rPr>
          <w:rFonts w:ascii="Arial" w:hAnsi="Arial" w:cs="Arial"/>
          <w:sz w:val="24"/>
          <w:szCs w:val="24"/>
        </w:rPr>
        <w:t xml:space="preserve">precept </w:t>
      </w:r>
      <w:r w:rsidR="5856A2A3" w:rsidRPr="4D26AF23">
        <w:rPr>
          <w:rFonts w:ascii="Arial" w:hAnsi="Arial" w:cs="Arial"/>
          <w:sz w:val="24"/>
          <w:szCs w:val="24"/>
        </w:rPr>
        <w:t>of £1</w:t>
      </w:r>
      <w:r w:rsidR="3F861F2B" w:rsidRPr="4D26AF23">
        <w:rPr>
          <w:rFonts w:ascii="Arial" w:hAnsi="Arial" w:cs="Arial"/>
          <w:sz w:val="24"/>
          <w:szCs w:val="24"/>
        </w:rPr>
        <w:t>4</w:t>
      </w:r>
      <w:r w:rsidR="006810A2" w:rsidRPr="4D26AF23">
        <w:rPr>
          <w:rFonts w:ascii="Arial" w:hAnsi="Arial" w:cs="Arial"/>
          <w:sz w:val="24"/>
          <w:szCs w:val="24"/>
        </w:rPr>
        <w:t xml:space="preserve">. </w:t>
      </w:r>
      <w:r w:rsidR="00565EBB" w:rsidRPr="4D26AF23">
        <w:rPr>
          <w:rFonts w:ascii="Arial" w:hAnsi="Arial" w:cs="Arial"/>
          <w:sz w:val="24"/>
          <w:szCs w:val="24"/>
        </w:rPr>
        <w:t xml:space="preserve"> </w:t>
      </w:r>
      <w:r w:rsidR="006E0816" w:rsidRPr="4D26AF23">
        <w:rPr>
          <w:rFonts w:ascii="Arial" w:hAnsi="Arial" w:cs="Arial"/>
          <w:sz w:val="24"/>
          <w:szCs w:val="24"/>
        </w:rPr>
        <w:t>This assumes the maximum increase that can be applied</w:t>
      </w:r>
      <w:r w:rsidR="00E92D79" w:rsidRPr="4D26AF23">
        <w:rPr>
          <w:rFonts w:ascii="Arial" w:hAnsi="Arial" w:cs="Arial"/>
          <w:sz w:val="24"/>
          <w:szCs w:val="24"/>
        </w:rPr>
        <w:t xml:space="preserve">.  These suggest that the limit for Band D properties will rise in West Yorkshire </w:t>
      </w:r>
      <w:r w:rsidR="000D53C8" w:rsidRPr="4D26AF23">
        <w:rPr>
          <w:rFonts w:ascii="Arial" w:hAnsi="Arial" w:cs="Arial"/>
          <w:sz w:val="24"/>
          <w:szCs w:val="24"/>
        </w:rPr>
        <w:t xml:space="preserve">from </w:t>
      </w:r>
      <w:r w:rsidR="00020D75" w:rsidRPr="4D26AF23">
        <w:rPr>
          <w:rFonts w:ascii="Arial" w:hAnsi="Arial" w:cs="Arial"/>
          <w:sz w:val="24"/>
          <w:szCs w:val="24"/>
        </w:rPr>
        <w:t xml:space="preserve">£263.28 in 2025-26 to </w:t>
      </w:r>
      <w:r w:rsidR="00F55466" w:rsidRPr="4D26AF23">
        <w:rPr>
          <w:rFonts w:ascii="Arial" w:hAnsi="Arial" w:cs="Arial"/>
          <w:sz w:val="24"/>
          <w:szCs w:val="24"/>
        </w:rPr>
        <w:t>£277.28</w:t>
      </w:r>
      <w:r w:rsidR="00785E6A" w:rsidRPr="4D26AF23">
        <w:rPr>
          <w:rFonts w:ascii="Arial" w:hAnsi="Arial" w:cs="Arial"/>
          <w:sz w:val="24"/>
          <w:szCs w:val="24"/>
        </w:rPr>
        <w:t xml:space="preserve"> for 2026-27</w:t>
      </w:r>
      <w:r w:rsidR="15FA6710" w:rsidRPr="4D26AF23">
        <w:rPr>
          <w:rFonts w:ascii="Arial" w:hAnsi="Arial" w:cs="Arial"/>
          <w:sz w:val="24"/>
          <w:szCs w:val="24"/>
        </w:rPr>
        <w:t xml:space="preserve">. </w:t>
      </w:r>
      <w:r w:rsidR="21AF6FBC" w:rsidRPr="4D26AF23">
        <w:rPr>
          <w:rFonts w:ascii="Arial" w:hAnsi="Arial" w:cs="Arial"/>
          <w:sz w:val="24"/>
          <w:szCs w:val="24"/>
        </w:rPr>
        <w:t xml:space="preserve">However, </w:t>
      </w:r>
      <w:r w:rsidR="00E40575" w:rsidRPr="4D26AF23">
        <w:rPr>
          <w:rFonts w:ascii="Arial" w:hAnsi="Arial" w:cs="Arial"/>
          <w:sz w:val="24"/>
          <w:szCs w:val="24"/>
        </w:rPr>
        <w:t>the maximum precept</w:t>
      </w:r>
      <w:r w:rsidR="0DE0EF55" w:rsidRPr="4D26AF23">
        <w:rPr>
          <w:rFonts w:ascii="Arial" w:hAnsi="Arial" w:cs="Arial"/>
          <w:sz w:val="24"/>
          <w:szCs w:val="24"/>
        </w:rPr>
        <w:t xml:space="preserve"> limit is not expected to be confirmed until December</w:t>
      </w:r>
      <w:r w:rsidR="007C2ECC" w:rsidRPr="4D26AF23">
        <w:rPr>
          <w:rFonts w:ascii="Arial" w:hAnsi="Arial" w:cs="Arial"/>
          <w:sz w:val="24"/>
          <w:szCs w:val="24"/>
        </w:rPr>
        <w:t xml:space="preserve">.  </w:t>
      </w:r>
    </w:p>
    <w:p w14:paraId="22CDDEDA" w14:textId="007E3E2C" w:rsidR="00A36B1C" w:rsidRDefault="00A36B1C" w:rsidP="00A36B1C">
      <w:pPr>
        <w:spacing w:after="0" w:line="240" w:lineRule="auto"/>
        <w:ind w:left="720"/>
        <w:rPr>
          <w:rFonts w:ascii="Arial" w:hAnsi="Arial" w:cs="Arial"/>
          <w:sz w:val="24"/>
          <w:szCs w:val="24"/>
        </w:rPr>
      </w:pPr>
    </w:p>
    <w:p w14:paraId="668C9D0A" w14:textId="07BBC1EC" w:rsidR="00A36B1C" w:rsidRPr="00A36B1C" w:rsidRDefault="00A36B1C" w:rsidP="00A36B1C">
      <w:pPr>
        <w:spacing w:after="0" w:line="240" w:lineRule="auto"/>
        <w:ind w:left="720"/>
        <w:rPr>
          <w:rFonts w:ascii="Arial" w:hAnsi="Arial" w:cs="Arial"/>
          <w:sz w:val="24"/>
          <w:szCs w:val="24"/>
        </w:rPr>
      </w:pPr>
      <w:r w:rsidRPr="00A36B1C">
        <w:rPr>
          <w:rFonts w:ascii="Arial" w:hAnsi="Arial" w:cs="Arial"/>
          <w:sz w:val="24"/>
          <w:szCs w:val="24"/>
        </w:rPr>
        <w:t>The updated deficits for each year are as follows</w:t>
      </w:r>
      <w:r w:rsidR="00916D0A">
        <w:rPr>
          <w:rFonts w:ascii="Arial" w:hAnsi="Arial" w:cs="Arial"/>
          <w:sz w:val="24"/>
          <w:szCs w:val="24"/>
        </w:rPr>
        <w:t xml:space="preserve"> (before PBB savings are factored in)</w:t>
      </w:r>
      <w:r w:rsidRPr="00A36B1C">
        <w:rPr>
          <w:rFonts w:ascii="Arial" w:hAnsi="Arial" w:cs="Arial"/>
          <w:sz w:val="24"/>
          <w:szCs w:val="24"/>
        </w:rPr>
        <w:t>:</w:t>
      </w:r>
    </w:p>
    <w:p w14:paraId="3B7165B2" w14:textId="2D451539" w:rsidR="00A36B1C" w:rsidRPr="00A36B1C" w:rsidRDefault="00A36B1C" w:rsidP="00A36B1C">
      <w:pPr>
        <w:spacing w:after="0" w:line="240" w:lineRule="auto"/>
        <w:ind w:left="720"/>
        <w:rPr>
          <w:rFonts w:ascii="Arial" w:hAnsi="Arial" w:cs="Arial"/>
          <w:sz w:val="24"/>
          <w:szCs w:val="24"/>
        </w:rPr>
      </w:pPr>
      <w:r w:rsidRPr="00A36B1C">
        <w:rPr>
          <w:rFonts w:ascii="Arial" w:hAnsi="Arial" w:cs="Arial"/>
          <w:sz w:val="24"/>
          <w:szCs w:val="24"/>
        </w:rPr>
        <w:tab/>
      </w:r>
      <w:bookmarkStart w:id="0" w:name="_Hlk211871110"/>
      <w:r w:rsidRPr="00A36B1C">
        <w:rPr>
          <w:rFonts w:ascii="Arial" w:hAnsi="Arial" w:cs="Arial"/>
          <w:sz w:val="24"/>
          <w:szCs w:val="24"/>
        </w:rPr>
        <w:t>202</w:t>
      </w:r>
      <w:r w:rsidR="003C4C7C">
        <w:rPr>
          <w:rFonts w:ascii="Arial" w:hAnsi="Arial" w:cs="Arial"/>
          <w:sz w:val="24"/>
          <w:szCs w:val="24"/>
        </w:rPr>
        <w:t>6</w:t>
      </w:r>
      <w:r w:rsidRPr="00A36B1C">
        <w:rPr>
          <w:rFonts w:ascii="Arial" w:hAnsi="Arial" w:cs="Arial"/>
          <w:sz w:val="24"/>
          <w:szCs w:val="24"/>
        </w:rPr>
        <w:t>/2</w:t>
      </w:r>
      <w:r w:rsidR="003C4C7C">
        <w:rPr>
          <w:rFonts w:ascii="Arial" w:hAnsi="Arial" w:cs="Arial"/>
          <w:sz w:val="24"/>
          <w:szCs w:val="24"/>
        </w:rPr>
        <w:t>7</w:t>
      </w:r>
      <w:r w:rsidRPr="00A36B1C">
        <w:rPr>
          <w:rFonts w:ascii="Arial" w:hAnsi="Arial" w:cs="Arial"/>
          <w:sz w:val="24"/>
          <w:szCs w:val="24"/>
        </w:rPr>
        <w:tab/>
      </w:r>
      <w:r w:rsidRPr="00A36B1C">
        <w:rPr>
          <w:rFonts w:ascii="Arial" w:hAnsi="Arial" w:cs="Arial"/>
          <w:sz w:val="24"/>
          <w:szCs w:val="24"/>
        </w:rPr>
        <w:tab/>
        <w:t>£ 1</w:t>
      </w:r>
      <w:r w:rsidR="00051A01">
        <w:rPr>
          <w:rFonts w:ascii="Arial" w:hAnsi="Arial" w:cs="Arial"/>
          <w:sz w:val="24"/>
          <w:szCs w:val="24"/>
        </w:rPr>
        <w:t>0</w:t>
      </w:r>
      <w:r w:rsidRPr="00A36B1C">
        <w:rPr>
          <w:rFonts w:ascii="Arial" w:hAnsi="Arial" w:cs="Arial"/>
          <w:sz w:val="24"/>
          <w:szCs w:val="24"/>
        </w:rPr>
        <w:t>.</w:t>
      </w:r>
      <w:r w:rsidR="00051A01">
        <w:rPr>
          <w:rFonts w:ascii="Arial" w:hAnsi="Arial" w:cs="Arial"/>
          <w:sz w:val="24"/>
          <w:szCs w:val="24"/>
        </w:rPr>
        <w:t>79</w:t>
      </w:r>
      <w:r w:rsidR="002D6DA5">
        <w:rPr>
          <w:rFonts w:ascii="Arial" w:hAnsi="Arial" w:cs="Arial"/>
          <w:sz w:val="24"/>
          <w:szCs w:val="24"/>
        </w:rPr>
        <w:t>6</w:t>
      </w:r>
      <w:r w:rsidRPr="00A36B1C">
        <w:rPr>
          <w:rFonts w:ascii="Arial" w:hAnsi="Arial" w:cs="Arial"/>
          <w:sz w:val="24"/>
          <w:szCs w:val="24"/>
        </w:rPr>
        <w:t>m</w:t>
      </w:r>
    </w:p>
    <w:p w14:paraId="08572812" w14:textId="4AEA6224" w:rsidR="00A36B1C" w:rsidRPr="00A36B1C" w:rsidRDefault="00A36B1C" w:rsidP="00A36B1C">
      <w:pPr>
        <w:spacing w:after="0" w:line="240" w:lineRule="auto"/>
        <w:ind w:left="720"/>
        <w:rPr>
          <w:rFonts w:ascii="Arial" w:hAnsi="Arial" w:cs="Arial"/>
          <w:sz w:val="24"/>
          <w:szCs w:val="24"/>
        </w:rPr>
      </w:pPr>
      <w:r w:rsidRPr="00A36B1C">
        <w:rPr>
          <w:rFonts w:ascii="Arial" w:hAnsi="Arial" w:cs="Arial"/>
          <w:sz w:val="24"/>
          <w:szCs w:val="24"/>
        </w:rPr>
        <w:tab/>
        <w:t>202</w:t>
      </w:r>
      <w:r w:rsidR="003C4C7C">
        <w:rPr>
          <w:rFonts w:ascii="Arial" w:hAnsi="Arial" w:cs="Arial"/>
          <w:sz w:val="24"/>
          <w:szCs w:val="24"/>
        </w:rPr>
        <w:t>7</w:t>
      </w:r>
      <w:r w:rsidRPr="00A36B1C">
        <w:rPr>
          <w:rFonts w:ascii="Arial" w:hAnsi="Arial" w:cs="Arial"/>
          <w:sz w:val="24"/>
          <w:szCs w:val="24"/>
        </w:rPr>
        <w:t>/2</w:t>
      </w:r>
      <w:r w:rsidR="003C4C7C">
        <w:rPr>
          <w:rFonts w:ascii="Arial" w:hAnsi="Arial" w:cs="Arial"/>
          <w:sz w:val="24"/>
          <w:szCs w:val="24"/>
        </w:rPr>
        <w:t>8</w:t>
      </w:r>
      <w:r w:rsidRPr="00A36B1C">
        <w:rPr>
          <w:rFonts w:ascii="Arial" w:hAnsi="Arial" w:cs="Arial"/>
          <w:sz w:val="24"/>
          <w:szCs w:val="24"/>
        </w:rPr>
        <w:tab/>
      </w:r>
      <w:r w:rsidRPr="00A36B1C">
        <w:rPr>
          <w:rFonts w:ascii="Arial" w:hAnsi="Arial" w:cs="Arial"/>
          <w:sz w:val="24"/>
          <w:szCs w:val="24"/>
        </w:rPr>
        <w:tab/>
        <w:t xml:space="preserve">£ </w:t>
      </w:r>
      <w:r w:rsidR="008E3F6C">
        <w:rPr>
          <w:rFonts w:ascii="Arial" w:hAnsi="Arial" w:cs="Arial"/>
          <w:sz w:val="24"/>
          <w:szCs w:val="24"/>
        </w:rPr>
        <w:t>1</w:t>
      </w:r>
      <w:r w:rsidR="00051A01">
        <w:rPr>
          <w:rFonts w:ascii="Arial" w:hAnsi="Arial" w:cs="Arial"/>
          <w:sz w:val="24"/>
          <w:szCs w:val="24"/>
        </w:rPr>
        <w:t>5</w:t>
      </w:r>
      <w:r w:rsidRPr="00A36B1C">
        <w:rPr>
          <w:rFonts w:ascii="Arial" w:hAnsi="Arial" w:cs="Arial"/>
          <w:sz w:val="24"/>
          <w:szCs w:val="24"/>
        </w:rPr>
        <w:t>.</w:t>
      </w:r>
      <w:r w:rsidR="00626727">
        <w:rPr>
          <w:rFonts w:ascii="Arial" w:hAnsi="Arial" w:cs="Arial"/>
          <w:sz w:val="24"/>
          <w:szCs w:val="24"/>
        </w:rPr>
        <w:t>044</w:t>
      </w:r>
      <w:r w:rsidR="00626727" w:rsidRPr="00A36B1C">
        <w:rPr>
          <w:rFonts w:ascii="Arial" w:hAnsi="Arial" w:cs="Arial"/>
          <w:sz w:val="24"/>
          <w:szCs w:val="24"/>
        </w:rPr>
        <w:t>m</w:t>
      </w:r>
    </w:p>
    <w:p w14:paraId="12A8FC2E" w14:textId="6117BEDC" w:rsidR="00A36B1C" w:rsidRPr="00A36B1C" w:rsidRDefault="00A36B1C" w:rsidP="00A36B1C">
      <w:pPr>
        <w:spacing w:after="0" w:line="240" w:lineRule="auto"/>
        <w:ind w:left="720"/>
        <w:rPr>
          <w:rFonts w:ascii="Arial" w:hAnsi="Arial" w:cs="Arial"/>
          <w:sz w:val="24"/>
          <w:szCs w:val="24"/>
        </w:rPr>
      </w:pPr>
      <w:r w:rsidRPr="00A36B1C">
        <w:rPr>
          <w:rFonts w:ascii="Arial" w:hAnsi="Arial" w:cs="Arial"/>
          <w:sz w:val="24"/>
          <w:szCs w:val="24"/>
        </w:rPr>
        <w:tab/>
        <w:t>202</w:t>
      </w:r>
      <w:r w:rsidR="003C4C7C">
        <w:rPr>
          <w:rFonts w:ascii="Arial" w:hAnsi="Arial" w:cs="Arial"/>
          <w:sz w:val="24"/>
          <w:szCs w:val="24"/>
        </w:rPr>
        <w:t>8</w:t>
      </w:r>
      <w:r w:rsidRPr="00A36B1C">
        <w:rPr>
          <w:rFonts w:ascii="Arial" w:hAnsi="Arial" w:cs="Arial"/>
          <w:sz w:val="24"/>
          <w:szCs w:val="24"/>
        </w:rPr>
        <w:t>/</w:t>
      </w:r>
      <w:r w:rsidR="003C4C7C">
        <w:rPr>
          <w:rFonts w:ascii="Arial" w:hAnsi="Arial" w:cs="Arial"/>
          <w:sz w:val="24"/>
          <w:szCs w:val="24"/>
        </w:rPr>
        <w:t>29</w:t>
      </w:r>
      <w:r w:rsidRPr="00A36B1C">
        <w:rPr>
          <w:rFonts w:ascii="Arial" w:hAnsi="Arial" w:cs="Arial"/>
          <w:sz w:val="24"/>
          <w:szCs w:val="24"/>
        </w:rPr>
        <w:tab/>
      </w:r>
      <w:r w:rsidRPr="00A36B1C">
        <w:rPr>
          <w:rFonts w:ascii="Arial" w:hAnsi="Arial" w:cs="Arial"/>
          <w:sz w:val="24"/>
          <w:szCs w:val="24"/>
        </w:rPr>
        <w:tab/>
        <w:t xml:space="preserve">£ </w:t>
      </w:r>
      <w:r w:rsidR="008E3F6C">
        <w:rPr>
          <w:rFonts w:ascii="Arial" w:hAnsi="Arial" w:cs="Arial"/>
          <w:sz w:val="24"/>
          <w:szCs w:val="24"/>
        </w:rPr>
        <w:t>1</w:t>
      </w:r>
      <w:r w:rsidR="005563D0">
        <w:rPr>
          <w:rFonts w:ascii="Arial" w:hAnsi="Arial" w:cs="Arial"/>
          <w:sz w:val="24"/>
          <w:szCs w:val="24"/>
        </w:rPr>
        <w:t>7</w:t>
      </w:r>
      <w:r w:rsidRPr="00A36B1C">
        <w:rPr>
          <w:rFonts w:ascii="Arial" w:hAnsi="Arial" w:cs="Arial"/>
          <w:sz w:val="24"/>
          <w:szCs w:val="24"/>
        </w:rPr>
        <w:t>.</w:t>
      </w:r>
      <w:r w:rsidR="00626727">
        <w:rPr>
          <w:rFonts w:ascii="Arial" w:hAnsi="Arial" w:cs="Arial"/>
          <w:sz w:val="24"/>
          <w:szCs w:val="24"/>
        </w:rPr>
        <w:t>146</w:t>
      </w:r>
      <w:r w:rsidR="00626727" w:rsidRPr="00A36B1C">
        <w:rPr>
          <w:rFonts w:ascii="Arial" w:hAnsi="Arial" w:cs="Arial"/>
          <w:sz w:val="24"/>
          <w:szCs w:val="24"/>
        </w:rPr>
        <w:t>m</w:t>
      </w:r>
    </w:p>
    <w:bookmarkEnd w:id="0"/>
    <w:p w14:paraId="1E29D37D" w14:textId="77777777" w:rsidR="00E277A4" w:rsidRDefault="00E277A4" w:rsidP="002E325D">
      <w:pPr>
        <w:spacing w:after="0" w:line="240" w:lineRule="auto"/>
        <w:ind w:left="720"/>
        <w:rPr>
          <w:rFonts w:ascii="Arial" w:hAnsi="Arial" w:cs="Arial"/>
          <w:sz w:val="24"/>
          <w:szCs w:val="24"/>
          <w:lang w:val="en-AU"/>
        </w:rPr>
      </w:pPr>
    </w:p>
    <w:p w14:paraId="1D82AC04" w14:textId="798B9B60" w:rsidR="00E277A4" w:rsidRDefault="00FC08AE" w:rsidP="002E325D">
      <w:pPr>
        <w:spacing w:after="0" w:line="240" w:lineRule="auto"/>
        <w:ind w:left="720"/>
        <w:rPr>
          <w:rFonts w:ascii="Arial" w:hAnsi="Arial" w:cs="Arial"/>
          <w:sz w:val="24"/>
          <w:szCs w:val="24"/>
          <w:lang w:val="en-AU"/>
        </w:rPr>
      </w:pPr>
      <w:r w:rsidRPr="00FC08AE">
        <w:rPr>
          <w:rFonts w:ascii="Arial" w:hAnsi="Arial" w:cs="Arial"/>
          <w:sz w:val="24"/>
          <w:szCs w:val="24"/>
          <w:lang w:val="en-AU"/>
        </w:rPr>
        <w:t xml:space="preserve">Attached at </w:t>
      </w:r>
      <w:r w:rsidRPr="00D736D4">
        <w:rPr>
          <w:rFonts w:ascii="Arial" w:hAnsi="Arial" w:cs="Arial"/>
          <w:b/>
          <w:bCs/>
          <w:sz w:val="24"/>
          <w:szCs w:val="24"/>
          <w:lang w:val="en-AU"/>
        </w:rPr>
        <w:t>Appendix A</w:t>
      </w:r>
      <w:r w:rsidRPr="00FC08AE">
        <w:rPr>
          <w:rFonts w:ascii="Arial" w:hAnsi="Arial" w:cs="Arial"/>
          <w:sz w:val="24"/>
          <w:szCs w:val="24"/>
          <w:lang w:val="en-AU"/>
        </w:rPr>
        <w:t xml:space="preserve"> is a detailed breakdown of the MTFF across the next three years.</w:t>
      </w:r>
    </w:p>
    <w:p w14:paraId="2A7B5288" w14:textId="77777777" w:rsidR="00FC08AE" w:rsidRDefault="00FC08AE" w:rsidP="002E325D">
      <w:pPr>
        <w:spacing w:after="0" w:line="240" w:lineRule="auto"/>
        <w:ind w:left="720"/>
        <w:rPr>
          <w:rFonts w:ascii="Arial" w:hAnsi="Arial" w:cs="Arial"/>
          <w:sz w:val="24"/>
          <w:szCs w:val="24"/>
          <w:lang w:val="en-AU"/>
        </w:rPr>
      </w:pPr>
    </w:p>
    <w:p w14:paraId="2623729E" w14:textId="222CCFAA" w:rsidR="001F3DBF" w:rsidRDefault="001F3DBF" w:rsidP="002E325D">
      <w:pPr>
        <w:spacing w:after="0" w:line="240" w:lineRule="auto"/>
        <w:ind w:left="720"/>
        <w:rPr>
          <w:rFonts w:ascii="Arial" w:hAnsi="Arial" w:cs="Arial"/>
          <w:sz w:val="24"/>
          <w:szCs w:val="24"/>
          <w:lang w:val="en-AU"/>
        </w:rPr>
      </w:pPr>
      <w:r>
        <w:rPr>
          <w:rFonts w:ascii="Arial" w:hAnsi="Arial" w:cs="Arial"/>
          <w:sz w:val="24"/>
          <w:szCs w:val="24"/>
          <w:lang w:val="en-AU"/>
        </w:rPr>
        <w:t xml:space="preserve">Revised </w:t>
      </w:r>
      <w:r w:rsidR="005B300C">
        <w:rPr>
          <w:rFonts w:ascii="Arial" w:hAnsi="Arial" w:cs="Arial"/>
          <w:sz w:val="24"/>
          <w:szCs w:val="24"/>
          <w:lang w:val="en-AU"/>
        </w:rPr>
        <w:t xml:space="preserve">deficit </w:t>
      </w:r>
      <w:r>
        <w:rPr>
          <w:rFonts w:ascii="Arial" w:hAnsi="Arial" w:cs="Arial"/>
          <w:sz w:val="24"/>
          <w:szCs w:val="24"/>
          <w:lang w:val="en-AU"/>
        </w:rPr>
        <w:t xml:space="preserve">position with PBB </w:t>
      </w:r>
      <w:r w:rsidR="005B300C">
        <w:rPr>
          <w:rFonts w:ascii="Arial" w:hAnsi="Arial" w:cs="Arial"/>
          <w:sz w:val="24"/>
          <w:szCs w:val="24"/>
          <w:lang w:val="en-AU"/>
        </w:rPr>
        <w:t xml:space="preserve">savings plans factored </w:t>
      </w:r>
      <w:r w:rsidR="003E2CBB">
        <w:rPr>
          <w:rFonts w:ascii="Arial" w:hAnsi="Arial" w:cs="Arial"/>
          <w:sz w:val="24"/>
          <w:szCs w:val="24"/>
          <w:lang w:val="en-AU"/>
        </w:rPr>
        <w:t>(</w:t>
      </w:r>
      <w:r w:rsidR="00EA3C34">
        <w:rPr>
          <w:rFonts w:ascii="Arial" w:hAnsi="Arial" w:cs="Arial"/>
          <w:sz w:val="24"/>
          <w:szCs w:val="24"/>
          <w:lang w:val="en-AU"/>
        </w:rPr>
        <w:t xml:space="preserve">4.3 </w:t>
      </w:r>
      <w:r w:rsidR="003E2CBB">
        <w:rPr>
          <w:rFonts w:ascii="Arial" w:hAnsi="Arial" w:cs="Arial"/>
          <w:sz w:val="24"/>
          <w:szCs w:val="24"/>
          <w:lang w:val="en-AU"/>
        </w:rPr>
        <w:t xml:space="preserve">for </w:t>
      </w:r>
      <w:r w:rsidR="00EA3C34">
        <w:rPr>
          <w:rFonts w:ascii="Arial" w:hAnsi="Arial" w:cs="Arial"/>
          <w:sz w:val="24"/>
          <w:szCs w:val="24"/>
          <w:lang w:val="en-AU"/>
        </w:rPr>
        <w:t>detail</w:t>
      </w:r>
      <w:r w:rsidR="003E2CBB">
        <w:rPr>
          <w:rFonts w:ascii="Arial" w:hAnsi="Arial" w:cs="Arial"/>
          <w:sz w:val="24"/>
          <w:szCs w:val="24"/>
          <w:lang w:val="en-AU"/>
        </w:rPr>
        <w:t>)</w:t>
      </w:r>
    </w:p>
    <w:p w14:paraId="542D6D3F" w14:textId="77777777" w:rsidR="00EA3C34" w:rsidRDefault="00EA3C34" w:rsidP="002E325D">
      <w:pPr>
        <w:spacing w:after="0" w:line="240" w:lineRule="auto"/>
        <w:ind w:left="720"/>
        <w:rPr>
          <w:rFonts w:ascii="Arial" w:hAnsi="Arial" w:cs="Arial"/>
          <w:sz w:val="24"/>
          <w:szCs w:val="24"/>
          <w:lang w:val="en-AU"/>
        </w:rPr>
      </w:pPr>
    </w:p>
    <w:p w14:paraId="73D67D38" w14:textId="667F2E8A" w:rsidR="00920554" w:rsidRPr="00920554" w:rsidRDefault="00920554" w:rsidP="00920554">
      <w:pPr>
        <w:spacing w:after="0" w:line="240" w:lineRule="auto"/>
        <w:ind w:left="720" w:firstLine="720"/>
        <w:rPr>
          <w:rFonts w:ascii="Arial" w:hAnsi="Arial" w:cs="Arial"/>
          <w:sz w:val="24"/>
          <w:szCs w:val="24"/>
        </w:rPr>
      </w:pPr>
      <w:r w:rsidRPr="00920554">
        <w:rPr>
          <w:rFonts w:ascii="Arial" w:hAnsi="Arial" w:cs="Arial"/>
          <w:sz w:val="24"/>
          <w:szCs w:val="24"/>
        </w:rPr>
        <w:t>2026/27</w:t>
      </w:r>
      <w:r w:rsidRPr="00920554">
        <w:rPr>
          <w:rFonts w:ascii="Arial" w:hAnsi="Arial" w:cs="Arial"/>
          <w:sz w:val="24"/>
          <w:szCs w:val="24"/>
        </w:rPr>
        <w:tab/>
      </w:r>
      <w:r w:rsidRPr="00920554">
        <w:rPr>
          <w:rFonts w:ascii="Arial" w:hAnsi="Arial" w:cs="Arial"/>
          <w:sz w:val="24"/>
          <w:szCs w:val="24"/>
        </w:rPr>
        <w:tab/>
        <w:t xml:space="preserve">£ </w:t>
      </w:r>
      <w:r>
        <w:rPr>
          <w:rFonts w:ascii="Arial" w:hAnsi="Arial" w:cs="Arial"/>
          <w:sz w:val="24"/>
          <w:szCs w:val="24"/>
        </w:rPr>
        <w:t>9</w:t>
      </w:r>
      <w:r w:rsidRPr="00920554">
        <w:rPr>
          <w:rFonts w:ascii="Arial" w:hAnsi="Arial" w:cs="Arial"/>
          <w:sz w:val="24"/>
          <w:szCs w:val="24"/>
        </w:rPr>
        <w:t>.</w:t>
      </w:r>
      <w:r w:rsidR="001F3DBF">
        <w:rPr>
          <w:rFonts w:ascii="Arial" w:hAnsi="Arial" w:cs="Arial"/>
          <w:sz w:val="24"/>
          <w:szCs w:val="24"/>
        </w:rPr>
        <w:t>904</w:t>
      </w:r>
      <w:r w:rsidRPr="00920554">
        <w:rPr>
          <w:rFonts w:ascii="Arial" w:hAnsi="Arial" w:cs="Arial"/>
          <w:sz w:val="24"/>
          <w:szCs w:val="24"/>
        </w:rPr>
        <w:t>m</w:t>
      </w:r>
    </w:p>
    <w:p w14:paraId="068EC3A9" w14:textId="5044877C" w:rsidR="00920554" w:rsidRPr="00920554" w:rsidRDefault="00920554" w:rsidP="00920554">
      <w:pPr>
        <w:spacing w:after="0" w:line="240" w:lineRule="auto"/>
        <w:ind w:left="720"/>
        <w:rPr>
          <w:rFonts w:ascii="Arial" w:hAnsi="Arial" w:cs="Arial"/>
          <w:sz w:val="24"/>
          <w:szCs w:val="24"/>
        </w:rPr>
      </w:pPr>
      <w:r w:rsidRPr="00920554">
        <w:rPr>
          <w:rFonts w:ascii="Arial" w:hAnsi="Arial" w:cs="Arial"/>
          <w:sz w:val="24"/>
          <w:szCs w:val="24"/>
        </w:rPr>
        <w:tab/>
        <w:t>2027/28</w:t>
      </w:r>
      <w:r w:rsidRPr="00920554">
        <w:rPr>
          <w:rFonts w:ascii="Arial" w:hAnsi="Arial" w:cs="Arial"/>
          <w:sz w:val="24"/>
          <w:szCs w:val="24"/>
        </w:rPr>
        <w:tab/>
      </w:r>
      <w:r w:rsidRPr="00920554">
        <w:rPr>
          <w:rFonts w:ascii="Arial" w:hAnsi="Arial" w:cs="Arial"/>
          <w:sz w:val="24"/>
          <w:szCs w:val="24"/>
        </w:rPr>
        <w:tab/>
        <w:t>£ 1</w:t>
      </w:r>
      <w:r w:rsidR="00EA3C34">
        <w:rPr>
          <w:rFonts w:ascii="Arial" w:hAnsi="Arial" w:cs="Arial"/>
          <w:sz w:val="24"/>
          <w:szCs w:val="24"/>
        </w:rPr>
        <w:t>0</w:t>
      </w:r>
      <w:r w:rsidRPr="00920554">
        <w:rPr>
          <w:rFonts w:ascii="Arial" w:hAnsi="Arial" w:cs="Arial"/>
          <w:sz w:val="24"/>
          <w:szCs w:val="24"/>
        </w:rPr>
        <w:t>.</w:t>
      </w:r>
      <w:r w:rsidR="00EA3C34">
        <w:rPr>
          <w:rFonts w:ascii="Arial" w:hAnsi="Arial" w:cs="Arial"/>
          <w:sz w:val="24"/>
          <w:szCs w:val="24"/>
        </w:rPr>
        <w:t>947</w:t>
      </w:r>
      <w:r w:rsidRPr="00920554">
        <w:rPr>
          <w:rFonts w:ascii="Arial" w:hAnsi="Arial" w:cs="Arial"/>
          <w:sz w:val="24"/>
          <w:szCs w:val="24"/>
        </w:rPr>
        <w:t>m</w:t>
      </w:r>
    </w:p>
    <w:p w14:paraId="09BC2179" w14:textId="0969433E" w:rsidR="00920554" w:rsidRPr="00920554" w:rsidRDefault="00920554" w:rsidP="00920554">
      <w:pPr>
        <w:spacing w:after="0" w:line="240" w:lineRule="auto"/>
        <w:ind w:left="720"/>
        <w:rPr>
          <w:rFonts w:ascii="Arial" w:hAnsi="Arial" w:cs="Arial"/>
          <w:sz w:val="24"/>
          <w:szCs w:val="24"/>
        </w:rPr>
      </w:pPr>
      <w:r w:rsidRPr="00920554">
        <w:rPr>
          <w:rFonts w:ascii="Arial" w:hAnsi="Arial" w:cs="Arial"/>
          <w:sz w:val="24"/>
          <w:szCs w:val="24"/>
        </w:rPr>
        <w:tab/>
        <w:t>2028/29</w:t>
      </w:r>
      <w:r w:rsidRPr="00920554">
        <w:rPr>
          <w:rFonts w:ascii="Arial" w:hAnsi="Arial" w:cs="Arial"/>
          <w:sz w:val="24"/>
          <w:szCs w:val="24"/>
        </w:rPr>
        <w:tab/>
      </w:r>
      <w:r w:rsidRPr="00920554">
        <w:rPr>
          <w:rFonts w:ascii="Arial" w:hAnsi="Arial" w:cs="Arial"/>
          <w:sz w:val="24"/>
          <w:szCs w:val="24"/>
        </w:rPr>
        <w:tab/>
        <w:t>£ 1</w:t>
      </w:r>
      <w:r w:rsidR="00EA3C34">
        <w:rPr>
          <w:rFonts w:ascii="Arial" w:hAnsi="Arial" w:cs="Arial"/>
          <w:sz w:val="24"/>
          <w:szCs w:val="24"/>
        </w:rPr>
        <w:t>2</w:t>
      </w:r>
      <w:r w:rsidRPr="00920554">
        <w:rPr>
          <w:rFonts w:ascii="Arial" w:hAnsi="Arial" w:cs="Arial"/>
          <w:sz w:val="24"/>
          <w:szCs w:val="24"/>
        </w:rPr>
        <w:t>.</w:t>
      </w:r>
      <w:r w:rsidR="00EA3C34">
        <w:rPr>
          <w:rFonts w:ascii="Arial" w:hAnsi="Arial" w:cs="Arial"/>
          <w:sz w:val="24"/>
          <w:szCs w:val="24"/>
        </w:rPr>
        <w:t>283</w:t>
      </w:r>
      <w:r w:rsidRPr="00920554">
        <w:rPr>
          <w:rFonts w:ascii="Arial" w:hAnsi="Arial" w:cs="Arial"/>
          <w:sz w:val="24"/>
          <w:szCs w:val="24"/>
        </w:rPr>
        <w:t>m</w:t>
      </w:r>
    </w:p>
    <w:p w14:paraId="13CED6A1" w14:textId="4702A1EA" w:rsidR="06F4DDF9" w:rsidRDefault="06F4DDF9" w:rsidP="06F4DDF9">
      <w:pPr>
        <w:spacing w:after="0" w:line="240" w:lineRule="auto"/>
        <w:ind w:left="720"/>
        <w:rPr>
          <w:rFonts w:ascii="Arial" w:hAnsi="Arial" w:cs="Arial"/>
          <w:sz w:val="24"/>
          <w:szCs w:val="24"/>
        </w:rPr>
      </w:pPr>
    </w:p>
    <w:p w14:paraId="42EB3926" w14:textId="48CB868F" w:rsidR="00F71764" w:rsidRDefault="00F71764" w:rsidP="00F71764">
      <w:pPr>
        <w:spacing w:after="0" w:line="240" w:lineRule="auto"/>
        <w:rPr>
          <w:rFonts w:ascii="Arial" w:hAnsi="Arial" w:cs="Arial"/>
          <w:b/>
          <w:bCs/>
          <w:sz w:val="24"/>
          <w:szCs w:val="24"/>
          <w:lang w:val="en-AU"/>
        </w:rPr>
      </w:pPr>
      <w:r w:rsidRPr="004335DD">
        <w:rPr>
          <w:rFonts w:ascii="Arial" w:hAnsi="Arial" w:cs="Arial"/>
          <w:b/>
          <w:bCs/>
          <w:sz w:val="24"/>
          <w:szCs w:val="24"/>
          <w:lang w:val="en-AU"/>
        </w:rPr>
        <w:t>4.2</w:t>
      </w:r>
      <w:r>
        <w:rPr>
          <w:rFonts w:ascii="Arial" w:hAnsi="Arial" w:cs="Arial"/>
          <w:sz w:val="24"/>
          <w:szCs w:val="24"/>
          <w:lang w:val="en-AU"/>
        </w:rPr>
        <w:tab/>
      </w:r>
      <w:r w:rsidRPr="00F71764">
        <w:rPr>
          <w:rFonts w:ascii="Arial" w:hAnsi="Arial" w:cs="Arial"/>
          <w:b/>
          <w:bCs/>
          <w:sz w:val="24"/>
          <w:szCs w:val="24"/>
          <w:lang w:val="en-AU"/>
        </w:rPr>
        <w:t>Assumptions</w:t>
      </w:r>
    </w:p>
    <w:p w14:paraId="3588031B" w14:textId="77777777" w:rsidR="004335DD" w:rsidRPr="00F71764" w:rsidRDefault="004335DD" w:rsidP="00F71764">
      <w:pPr>
        <w:spacing w:after="0" w:line="240" w:lineRule="auto"/>
        <w:rPr>
          <w:rFonts w:ascii="Arial" w:hAnsi="Arial" w:cs="Arial"/>
          <w:sz w:val="24"/>
          <w:szCs w:val="24"/>
          <w:lang w:val="en-AU"/>
        </w:rPr>
      </w:pPr>
    </w:p>
    <w:p w14:paraId="54FC2EF6" w14:textId="02493AEE" w:rsidR="00F71764" w:rsidRDefault="00F71764" w:rsidP="00F71764">
      <w:pPr>
        <w:spacing w:after="0" w:line="240" w:lineRule="auto"/>
        <w:ind w:left="720"/>
        <w:rPr>
          <w:rFonts w:ascii="Arial" w:hAnsi="Arial" w:cs="Arial"/>
          <w:sz w:val="24"/>
          <w:szCs w:val="24"/>
        </w:rPr>
      </w:pPr>
      <w:r w:rsidRPr="00F71764">
        <w:rPr>
          <w:rFonts w:ascii="Arial" w:hAnsi="Arial" w:cs="Arial"/>
          <w:sz w:val="24"/>
          <w:szCs w:val="24"/>
        </w:rPr>
        <w:t>Key assumptions with</w:t>
      </w:r>
      <w:r w:rsidR="005F4D91">
        <w:rPr>
          <w:rFonts w:ascii="Arial" w:hAnsi="Arial" w:cs="Arial"/>
          <w:sz w:val="24"/>
          <w:szCs w:val="24"/>
        </w:rPr>
        <w:t>in</w:t>
      </w:r>
      <w:r w:rsidRPr="00F71764">
        <w:rPr>
          <w:rFonts w:ascii="Arial" w:hAnsi="Arial" w:cs="Arial"/>
          <w:sz w:val="24"/>
          <w:szCs w:val="24"/>
        </w:rPr>
        <w:t xml:space="preserve"> the figures presented</w:t>
      </w:r>
      <w:r w:rsidR="005F4D91">
        <w:rPr>
          <w:rFonts w:ascii="Arial" w:hAnsi="Arial" w:cs="Arial"/>
          <w:sz w:val="24"/>
          <w:szCs w:val="24"/>
        </w:rPr>
        <w:t xml:space="preserve"> are</w:t>
      </w:r>
      <w:r w:rsidRPr="00F71764">
        <w:rPr>
          <w:rFonts w:ascii="Arial" w:hAnsi="Arial" w:cs="Arial"/>
          <w:sz w:val="24"/>
          <w:szCs w:val="24"/>
        </w:rPr>
        <w:t>:</w:t>
      </w:r>
    </w:p>
    <w:p w14:paraId="1EAD5BFC" w14:textId="77777777" w:rsidR="004335DD" w:rsidRPr="00F71764" w:rsidRDefault="004335DD" w:rsidP="00F71764">
      <w:pPr>
        <w:spacing w:after="0" w:line="240" w:lineRule="auto"/>
        <w:ind w:left="720"/>
        <w:rPr>
          <w:rFonts w:ascii="Arial" w:hAnsi="Arial" w:cs="Arial"/>
          <w:sz w:val="24"/>
          <w:szCs w:val="24"/>
        </w:rPr>
      </w:pPr>
    </w:p>
    <w:p w14:paraId="69A26A22" w14:textId="276824CE" w:rsidR="00F71764" w:rsidRDefault="005F7329" w:rsidP="00F71764">
      <w:pPr>
        <w:numPr>
          <w:ilvl w:val="0"/>
          <w:numId w:val="30"/>
        </w:numPr>
        <w:spacing w:after="0" w:line="240" w:lineRule="auto"/>
        <w:rPr>
          <w:rFonts w:ascii="Arial" w:hAnsi="Arial" w:cs="Arial"/>
          <w:sz w:val="24"/>
          <w:szCs w:val="24"/>
        </w:rPr>
      </w:pPr>
      <w:r>
        <w:rPr>
          <w:rFonts w:ascii="Arial" w:hAnsi="Arial" w:cs="Arial"/>
          <w:sz w:val="24"/>
          <w:szCs w:val="24"/>
        </w:rPr>
        <w:t>The additional costs associated with the</w:t>
      </w:r>
      <w:r w:rsidR="00F71764" w:rsidRPr="3F0EE6C6">
        <w:rPr>
          <w:rFonts w:ascii="Arial" w:hAnsi="Arial" w:cs="Arial"/>
          <w:sz w:val="24"/>
          <w:szCs w:val="24"/>
        </w:rPr>
        <w:t xml:space="preserve"> September 202</w:t>
      </w:r>
      <w:r w:rsidR="008E3F6C" w:rsidRPr="3F0EE6C6">
        <w:rPr>
          <w:rFonts w:ascii="Arial" w:hAnsi="Arial" w:cs="Arial"/>
          <w:sz w:val="24"/>
          <w:szCs w:val="24"/>
        </w:rPr>
        <w:t>5</w:t>
      </w:r>
      <w:r w:rsidR="00F71764" w:rsidRPr="3F0EE6C6">
        <w:rPr>
          <w:rFonts w:ascii="Arial" w:hAnsi="Arial" w:cs="Arial"/>
          <w:sz w:val="24"/>
          <w:szCs w:val="24"/>
        </w:rPr>
        <w:t xml:space="preserve"> pay award </w:t>
      </w:r>
      <w:r w:rsidR="00055115" w:rsidRPr="3F0EE6C6">
        <w:rPr>
          <w:rFonts w:ascii="Arial" w:hAnsi="Arial" w:cs="Arial"/>
          <w:sz w:val="24"/>
          <w:szCs w:val="24"/>
        </w:rPr>
        <w:t xml:space="preserve">(4.2%) </w:t>
      </w:r>
      <w:r w:rsidR="00CF660D">
        <w:rPr>
          <w:rFonts w:ascii="Arial" w:hAnsi="Arial" w:cs="Arial"/>
          <w:sz w:val="24"/>
          <w:szCs w:val="24"/>
        </w:rPr>
        <w:t>are</w:t>
      </w:r>
      <w:r>
        <w:rPr>
          <w:rFonts w:ascii="Arial" w:hAnsi="Arial" w:cs="Arial"/>
          <w:sz w:val="24"/>
          <w:szCs w:val="24"/>
        </w:rPr>
        <w:t xml:space="preserve"> built into the baseline staffing costs</w:t>
      </w:r>
    </w:p>
    <w:p w14:paraId="1928E791" w14:textId="5FCF98BD" w:rsidR="004364FB" w:rsidRPr="00F71764" w:rsidRDefault="006D1258" w:rsidP="00F71764">
      <w:pPr>
        <w:numPr>
          <w:ilvl w:val="0"/>
          <w:numId w:val="30"/>
        </w:numPr>
        <w:spacing w:after="0" w:line="240" w:lineRule="auto"/>
        <w:rPr>
          <w:rFonts w:ascii="Arial" w:hAnsi="Arial" w:cs="Arial"/>
          <w:sz w:val="24"/>
          <w:szCs w:val="24"/>
        </w:rPr>
      </w:pPr>
      <w:r>
        <w:rPr>
          <w:rFonts w:ascii="Arial" w:hAnsi="Arial" w:cs="Arial"/>
          <w:sz w:val="24"/>
          <w:szCs w:val="24"/>
        </w:rPr>
        <w:t>Formula share of funding</w:t>
      </w:r>
      <w:r w:rsidR="0068031B">
        <w:rPr>
          <w:rFonts w:ascii="Arial" w:hAnsi="Arial" w:cs="Arial"/>
          <w:sz w:val="24"/>
          <w:szCs w:val="24"/>
        </w:rPr>
        <w:t xml:space="preserve"> £120m (2025-26) </w:t>
      </w:r>
      <w:r>
        <w:rPr>
          <w:rFonts w:ascii="Arial" w:hAnsi="Arial" w:cs="Arial"/>
          <w:sz w:val="24"/>
          <w:szCs w:val="24"/>
        </w:rPr>
        <w:t xml:space="preserve">for pay award September 2025 </w:t>
      </w:r>
      <w:r w:rsidR="00D87E42">
        <w:rPr>
          <w:rFonts w:ascii="Arial" w:hAnsi="Arial" w:cs="Arial"/>
          <w:sz w:val="24"/>
          <w:szCs w:val="24"/>
        </w:rPr>
        <w:t>baselined for future years</w:t>
      </w:r>
    </w:p>
    <w:p w14:paraId="16CE813B" w14:textId="31F8F151" w:rsidR="00F71764" w:rsidRPr="00F71764" w:rsidRDefault="00F71764" w:rsidP="00F71764">
      <w:pPr>
        <w:numPr>
          <w:ilvl w:val="0"/>
          <w:numId w:val="30"/>
        </w:numPr>
        <w:spacing w:after="0" w:line="240" w:lineRule="auto"/>
        <w:rPr>
          <w:rFonts w:ascii="Arial" w:hAnsi="Arial" w:cs="Arial"/>
          <w:sz w:val="24"/>
          <w:szCs w:val="24"/>
        </w:rPr>
      </w:pPr>
      <w:r w:rsidRPr="00F71764">
        <w:rPr>
          <w:rFonts w:ascii="Arial" w:hAnsi="Arial" w:cs="Arial"/>
          <w:sz w:val="24"/>
          <w:szCs w:val="24"/>
        </w:rPr>
        <w:t>2% pay award for 202</w:t>
      </w:r>
      <w:r w:rsidR="008E3F6C">
        <w:rPr>
          <w:rFonts w:ascii="Arial" w:hAnsi="Arial" w:cs="Arial"/>
          <w:sz w:val="24"/>
          <w:szCs w:val="24"/>
        </w:rPr>
        <w:t>6</w:t>
      </w:r>
      <w:r w:rsidRPr="00F71764">
        <w:rPr>
          <w:rFonts w:ascii="Arial" w:hAnsi="Arial" w:cs="Arial"/>
          <w:sz w:val="24"/>
          <w:szCs w:val="24"/>
        </w:rPr>
        <w:t>/2</w:t>
      </w:r>
      <w:r w:rsidR="008E3F6C">
        <w:rPr>
          <w:rFonts w:ascii="Arial" w:hAnsi="Arial" w:cs="Arial"/>
          <w:sz w:val="24"/>
          <w:szCs w:val="24"/>
        </w:rPr>
        <w:t>7</w:t>
      </w:r>
      <w:r w:rsidRPr="00F71764">
        <w:rPr>
          <w:rFonts w:ascii="Arial" w:hAnsi="Arial" w:cs="Arial"/>
          <w:sz w:val="24"/>
          <w:szCs w:val="24"/>
        </w:rPr>
        <w:t xml:space="preserve"> and beyond</w:t>
      </w:r>
    </w:p>
    <w:p w14:paraId="0B4076F9" w14:textId="26AB8489" w:rsidR="00F71764" w:rsidRPr="00F71764" w:rsidRDefault="00F71764" w:rsidP="00F71764">
      <w:pPr>
        <w:numPr>
          <w:ilvl w:val="0"/>
          <w:numId w:val="30"/>
        </w:numPr>
        <w:spacing w:after="0" w:line="240" w:lineRule="auto"/>
        <w:rPr>
          <w:rFonts w:ascii="Arial" w:hAnsi="Arial" w:cs="Arial"/>
          <w:sz w:val="24"/>
          <w:szCs w:val="24"/>
        </w:rPr>
      </w:pPr>
      <w:r w:rsidRPr="00F71764">
        <w:rPr>
          <w:rFonts w:ascii="Arial" w:hAnsi="Arial" w:cs="Arial"/>
          <w:sz w:val="24"/>
          <w:szCs w:val="24"/>
        </w:rPr>
        <w:t>£1</w:t>
      </w:r>
      <w:r w:rsidR="008E3F6C">
        <w:rPr>
          <w:rFonts w:ascii="Arial" w:hAnsi="Arial" w:cs="Arial"/>
          <w:sz w:val="24"/>
          <w:szCs w:val="24"/>
        </w:rPr>
        <w:t>4</w:t>
      </w:r>
      <w:r w:rsidRPr="00F71764">
        <w:rPr>
          <w:rFonts w:ascii="Arial" w:hAnsi="Arial" w:cs="Arial"/>
          <w:sz w:val="24"/>
          <w:szCs w:val="24"/>
        </w:rPr>
        <w:t xml:space="preserve"> precept in 202</w:t>
      </w:r>
      <w:r w:rsidR="008E3F6C">
        <w:rPr>
          <w:rFonts w:ascii="Arial" w:hAnsi="Arial" w:cs="Arial"/>
          <w:sz w:val="24"/>
          <w:szCs w:val="24"/>
        </w:rPr>
        <w:t>6</w:t>
      </w:r>
      <w:r w:rsidRPr="00F71764">
        <w:rPr>
          <w:rFonts w:ascii="Arial" w:hAnsi="Arial" w:cs="Arial"/>
          <w:sz w:val="24"/>
          <w:szCs w:val="24"/>
        </w:rPr>
        <w:t>/2</w:t>
      </w:r>
      <w:r w:rsidR="008E3F6C">
        <w:rPr>
          <w:rFonts w:ascii="Arial" w:hAnsi="Arial" w:cs="Arial"/>
          <w:sz w:val="24"/>
          <w:szCs w:val="24"/>
        </w:rPr>
        <w:t>7</w:t>
      </w:r>
      <w:r w:rsidRPr="00F71764">
        <w:rPr>
          <w:rFonts w:ascii="Arial" w:hAnsi="Arial" w:cs="Arial"/>
          <w:sz w:val="24"/>
          <w:szCs w:val="24"/>
        </w:rPr>
        <w:t xml:space="preserve"> and £</w:t>
      </w:r>
      <w:r w:rsidR="008E3F6C">
        <w:rPr>
          <w:rFonts w:ascii="Arial" w:hAnsi="Arial" w:cs="Arial"/>
          <w:sz w:val="24"/>
          <w:szCs w:val="24"/>
        </w:rPr>
        <w:t>10</w:t>
      </w:r>
      <w:r w:rsidRPr="00F71764">
        <w:rPr>
          <w:rFonts w:ascii="Arial" w:hAnsi="Arial" w:cs="Arial"/>
          <w:sz w:val="24"/>
          <w:szCs w:val="24"/>
        </w:rPr>
        <w:t xml:space="preserve"> beyond</w:t>
      </w:r>
    </w:p>
    <w:p w14:paraId="613D4BD6" w14:textId="6D50EAC3" w:rsidR="00F71764" w:rsidRPr="00F71764" w:rsidRDefault="00F71764" w:rsidP="00F71764">
      <w:pPr>
        <w:numPr>
          <w:ilvl w:val="0"/>
          <w:numId w:val="30"/>
        </w:numPr>
        <w:spacing w:after="0" w:line="240" w:lineRule="auto"/>
        <w:rPr>
          <w:rFonts w:ascii="Arial" w:hAnsi="Arial" w:cs="Arial"/>
          <w:sz w:val="24"/>
          <w:szCs w:val="24"/>
        </w:rPr>
      </w:pPr>
      <w:r w:rsidRPr="00F71764">
        <w:rPr>
          <w:rFonts w:ascii="Arial" w:hAnsi="Arial" w:cs="Arial"/>
          <w:sz w:val="24"/>
          <w:szCs w:val="24"/>
        </w:rPr>
        <w:t xml:space="preserve">General inflation applied to most other areas of expenditure between 2% to </w:t>
      </w:r>
      <w:r w:rsidR="00F834B1">
        <w:rPr>
          <w:rFonts w:ascii="Arial" w:hAnsi="Arial" w:cs="Arial"/>
          <w:sz w:val="24"/>
          <w:szCs w:val="24"/>
        </w:rPr>
        <w:t>5</w:t>
      </w:r>
      <w:r w:rsidRPr="00F71764">
        <w:rPr>
          <w:rFonts w:ascii="Arial" w:hAnsi="Arial" w:cs="Arial"/>
          <w:sz w:val="24"/>
          <w:szCs w:val="24"/>
        </w:rPr>
        <w:t>% per annum, with some contract specific inflation being higher. This will continue to be reviewed</w:t>
      </w:r>
    </w:p>
    <w:p w14:paraId="079343E9" w14:textId="00693F73" w:rsidR="00F71764" w:rsidRPr="00F71764" w:rsidRDefault="00F71764" w:rsidP="00F71764">
      <w:pPr>
        <w:numPr>
          <w:ilvl w:val="0"/>
          <w:numId w:val="30"/>
        </w:numPr>
        <w:spacing w:after="0" w:line="240" w:lineRule="auto"/>
        <w:rPr>
          <w:rFonts w:ascii="Arial" w:hAnsi="Arial" w:cs="Arial"/>
          <w:sz w:val="24"/>
          <w:szCs w:val="24"/>
        </w:rPr>
      </w:pPr>
      <w:r w:rsidRPr="00F71764">
        <w:rPr>
          <w:rFonts w:ascii="Arial" w:hAnsi="Arial" w:cs="Arial"/>
          <w:sz w:val="24"/>
          <w:szCs w:val="24"/>
        </w:rPr>
        <w:t>A Police Staff vacancy factor of 4% throughout the MTFF</w:t>
      </w:r>
    </w:p>
    <w:p w14:paraId="37A0FC17" w14:textId="6A8C8D64" w:rsidR="00F71764" w:rsidRDefault="00F71764" w:rsidP="00F71764">
      <w:pPr>
        <w:numPr>
          <w:ilvl w:val="0"/>
          <w:numId w:val="30"/>
        </w:numPr>
        <w:spacing w:after="0" w:line="240" w:lineRule="auto"/>
        <w:rPr>
          <w:rFonts w:ascii="Arial" w:hAnsi="Arial" w:cs="Arial"/>
          <w:sz w:val="24"/>
          <w:szCs w:val="24"/>
        </w:rPr>
      </w:pPr>
      <w:r w:rsidRPr="00F71764">
        <w:rPr>
          <w:rFonts w:ascii="Arial" w:hAnsi="Arial" w:cs="Arial"/>
          <w:sz w:val="24"/>
          <w:szCs w:val="24"/>
        </w:rPr>
        <w:t xml:space="preserve">Contact vacancy factor </w:t>
      </w:r>
      <w:r w:rsidR="002378FB">
        <w:rPr>
          <w:rFonts w:ascii="Arial" w:hAnsi="Arial" w:cs="Arial"/>
          <w:sz w:val="24"/>
          <w:szCs w:val="24"/>
        </w:rPr>
        <w:t xml:space="preserve">of </w:t>
      </w:r>
      <w:r w:rsidRPr="00F71764">
        <w:rPr>
          <w:rFonts w:ascii="Arial" w:hAnsi="Arial" w:cs="Arial"/>
          <w:sz w:val="24"/>
          <w:szCs w:val="24"/>
        </w:rPr>
        <w:t>0% throughout MTFF</w:t>
      </w:r>
    </w:p>
    <w:p w14:paraId="735E1594" w14:textId="77777777" w:rsidR="00EA3570" w:rsidRDefault="00EA3570" w:rsidP="00EA3570">
      <w:pPr>
        <w:spacing w:after="0" w:line="240" w:lineRule="auto"/>
        <w:rPr>
          <w:rFonts w:ascii="Arial" w:hAnsi="Arial" w:cs="Arial"/>
          <w:sz w:val="24"/>
          <w:szCs w:val="24"/>
        </w:rPr>
      </w:pPr>
    </w:p>
    <w:p w14:paraId="0C633FA3" w14:textId="77777777" w:rsidR="008F5C2F" w:rsidRDefault="008F5C2F" w:rsidP="00EA3570">
      <w:pPr>
        <w:spacing w:after="0" w:line="240" w:lineRule="auto"/>
        <w:rPr>
          <w:rFonts w:ascii="Arial" w:hAnsi="Arial" w:cs="Arial"/>
          <w:sz w:val="24"/>
          <w:szCs w:val="24"/>
        </w:rPr>
      </w:pPr>
    </w:p>
    <w:p w14:paraId="7C435E6A" w14:textId="77777777" w:rsidR="008F5C2F" w:rsidRDefault="008F5C2F" w:rsidP="00EA3570">
      <w:pPr>
        <w:spacing w:after="0" w:line="240" w:lineRule="auto"/>
        <w:rPr>
          <w:rFonts w:ascii="Arial" w:hAnsi="Arial" w:cs="Arial"/>
          <w:sz w:val="24"/>
          <w:szCs w:val="24"/>
        </w:rPr>
      </w:pPr>
    </w:p>
    <w:p w14:paraId="2EDBB016" w14:textId="77777777" w:rsidR="008F5C2F" w:rsidRDefault="008F5C2F" w:rsidP="00EA3570">
      <w:pPr>
        <w:spacing w:after="0" w:line="240" w:lineRule="auto"/>
        <w:rPr>
          <w:rFonts w:ascii="Arial" w:hAnsi="Arial" w:cs="Arial"/>
          <w:sz w:val="24"/>
          <w:szCs w:val="24"/>
        </w:rPr>
      </w:pPr>
    </w:p>
    <w:p w14:paraId="215439C9" w14:textId="77777777" w:rsidR="008F5C2F" w:rsidRDefault="008F5C2F" w:rsidP="00EA3570">
      <w:pPr>
        <w:spacing w:after="0" w:line="240" w:lineRule="auto"/>
        <w:rPr>
          <w:rFonts w:ascii="Arial" w:hAnsi="Arial" w:cs="Arial"/>
          <w:sz w:val="24"/>
          <w:szCs w:val="24"/>
        </w:rPr>
      </w:pPr>
    </w:p>
    <w:p w14:paraId="748343B1" w14:textId="77777777" w:rsidR="00DD72A1" w:rsidRDefault="00DD72A1" w:rsidP="00EA3570">
      <w:pPr>
        <w:spacing w:after="0" w:line="240" w:lineRule="auto"/>
        <w:rPr>
          <w:rFonts w:ascii="Arial" w:hAnsi="Arial" w:cs="Arial"/>
          <w:sz w:val="24"/>
          <w:szCs w:val="24"/>
        </w:rPr>
      </w:pPr>
    </w:p>
    <w:p w14:paraId="3684B402" w14:textId="77777777" w:rsidR="00DD72A1" w:rsidRDefault="00DD72A1" w:rsidP="00EA3570">
      <w:pPr>
        <w:spacing w:after="0" w:line="240" w:lineRule="auto"/>
        <w:rPr>
          <w:rFonts w:ascii="Arial" w:hAnsi="Arial" w:cs="Arial"/>
          <w:sz w:val="24"/>
          <w:szCs w:val="24"/>
        </w:rPr>
      </w:pPr>
    </w:p>
    <w:p w14:paraId="379C6774" w14:textId="77777777" w:rsidR="008F5C2F" w:rsidRDefault="008F5C2F" w:rsidP="00EA3570">
      <w:pPr>
        <w:spacing w:after="0" w:line="240" w:lineRule="auto"/>
        <w:rPr>
          <w:rFonts w:ascii="Arial" w:hAnsi="Arial" w:cs="Arial"/>
          <w:sz w:val="24"/>
          <w:szCs w:val="24"/>
        </w:rPr>
      </w:pPr>
    </w:p>
    <w:p w14:paraId="75B160E3" w14:textId="569889FF" w:rsidR="00261D2C" w:rsidRDefault="00261D2C" w:rsidP="00261D2C">
      <w:pPr>
        <w:spacing w:after="0" w:line="240" w:lineRule="auto"/>
        <w:rPr>
          <w:rFonts w:ascii="Arial" w:hAnsi="Arial" w:cs="Arial"/>
          <w:b/>
          <w:bCs/>
          <w:sz w:val="24"/>
          <w:szCs w:val="24"/>
          <w:lang w:val="en-AU"/>
        </w:rPr>
      </w:pPr>
      <w:r w:rsidRPr="00261D2C">
        <w:rPr>
          <w:rFonts w:ascii="Arial" w:hAnsi="Arial" w:cs="Arial"/>
          <w:b/>
          <w:bCs/>
          <w:sz w:val="24"/>
          <w:szCs w:val="24"/>
          <w:lang w:val="en-AU"/>
        </w:rPr>
        <w:lastRenderedPageBreak/>
        <w:t>4.3</w:t>
      </w:r>
      <w:r w:rsidRPr="00261D2C">
        <w:rPr>
          <w:rFonts w:ascii="Arial" w:hAnsi="Arial" w:cs="Arial"/>
          <w:b/>
          <w:bCs/>
          <w:sz w:val="24"/>
          <w:szCs w:val="24"/>
          <w:lang w:val="en-AU"/>
        </w:rPr>
        <w:tab/>
        <w:t>Strategy for Closing the Gap</w:t>
      </w:r>
    </w:p>
    <w:p w14:paraId="4D707E60" w14:textId="77777777" w:rsidR="005F4D91" w:rsidRPr="00261D2C" w:rsidRDefault="005F4D91" w:rsidP="00261D2C">
      <w:pPr>
        <w:spacing w:after="0" w:line="240" w:lineRule="auto"/>
        <w:rPr>
          <w:rFonts w:ascii="Arial" w:hAnsi="Arial" w:cs="Arial"/>
          <w:b/>
          <w:bCs/>
          <w:sz w:val="24"/>
          <w:szCs w:val="24"/>
          <w:lang w:val="en-AU"/>
        </w:rPr>
      </w:pPr>
    </w:p>
    <w:p w14:paraId="2D3ABFBB" w14:textId="41D702AC" w:rsidR="00503F50" w:rsidRPr="00503F50" w:rsidRDefault="00503F50" w:rsidP="00503F50">
      <w:pPr>
        <w:spacing w:after="0" w:line="240" w:lineRule="auto"/>
        <w:ind w:left="720"/>
        <w:rPr>
          <w:rFonts w:ascii="Arial" w:hAnsi="Arial" w:cs="Arial"/>
          <w:sz w:val="24"/>
          <w:szCs w:val="24"/>
        </w:rPr>
      </w:pPr>
      <w:r w:rsidRPr="00503F50">
        <w:rPr>
          <w:rFonts w:ascii="Arial" w:hAnsi="Arial" w:cs="Arial"/>
          <w:sz w:val="24"/>
          <w:szCs w:val="24"/>
        </w:rPr>
        <w:t xml:space="preserve">As previously advised to the Panel, the Priority Based Budgeting (PBB) Programme is the primary vehicle for closing the budget gap. </w:t>
      </w:r>
      <w:r w:rsidRPr="00156EE0">
        <w:rPr>
          <w:rFonts w:ascii="Arial" w:hAnsi="Arial" w:cs="Arial"/>
          <w:b/>
          <w:bCs/>
          <w:sz w:val="24"/>
          <w:szCs w:val="24"/>
        </w:rPr>
        <w:t xml:space="preserve">Appendix </w:t>
      </w:r>
      <w:r w:rsidR="0023515C">
        <w:rPr>
          <w:rFonts w:ascii="Arial" w:hAnsi="Arial" w:cs="Arial"/>
          <w:b/>
          <w:bCs/>
          <w:sz w:val="24"/>
          <w:szCs w:val="24"/>
        </w:rPr>
        <w:t>B</w:t>
      </w:r>
      <w:r w:rsidRPr="0023515C">
        <w:rPr>
          <w:rFonts w:ascii="Arial" w:hAnsi="Arial" w:cs="Arial"/>
          <w:sz w:val="24"/>
          <w:szCs w:val="24"/>
        </w:rPr>
        <w:t xml:space="preserve"> </w:t>
      </w:r>
      <w:r w:rsidRPr="00503F50">
        <w:rPr>
          <w:rFonts w:ascii="Arial" w:hAnsi="Arial" w:cs="Arial"/>
          <w:sz w:val="24"/>
          <w:szCs w:val="24"/>
        </w:rPr>
        <w:t xml:space="preserve">is a reminder of the PBB process and how it has been implemented by West Yorkshire Police.  </w:t>
      </w:r>
    </w:p>
    <w:p w14:paraId="30DEC81F" w14:textId="6D3322D6" w:rsidR="00261D2C" w:rsidRDefault="00503F50" w:rsidP="00503F50">
      <w:pPr>
        <w:spacing w:after="0" w:line="240" w:lineRule="auto"/>
        <w:ind w:left="720"/>
        <w:rPr>
          <w:rFonts w:ascii="Arial" w:hAnsi="Arial" w:cs="Arial"/>
          <w:sz w:val="24"/>
          <w:szCs w:val="24"/>
        </w:rPr>
      </w:pPr>
      <w:r w:rsidRPr="00503F50">
        <w:rPr>
          <w:rFonts w:ascii="Arial" w:hAnsi="Arial" w:cs="Arial"/>
          <w:sz w:val="24"/>
          <w:szCs w:val="24"/>
        </w:rPr>
        <w:t>Progress to date has been significant, the table below shows the progress from a Medium Term Financial Forecast perspective:</w:t>
      </w:r>
    </w:p>
    <w:p w14:paraId="41FEB767" w14:textId="77777777" w:rsidR="008F5C2F" w:rsidRDefault="008F5C2F" w:rsidP="00261D2C">
      <w:pPr>
        <w:spacing w:after="0" w:line="240" w:lineRule="auto"/>
        <w:ind w:left="720"/>
        <w:rPr>
          <w:rFonts w:ascii="Arial" w:hAnsi="Arial" w:cs="Arial"/>
          <w:sz w:val="24"/>
          <w:szCs w:val="24"/>
        </w:rPr>
      </w:pPr>
    </w:p>
    <w:tbl>
      <w:tblPr>
        <w:tblW w:w="9320" w:type="dxa"/>
        <w:tblCellMar>
          <w:left w:w="0" w:type="dxa"/>
          <w:right w:w="0" w:type="dxa"/>
        </w:tblCellMar>
        <w:tblLook w:val="04A0" w:firstRow="1" w:lastRow="0" w:firstColumn="1" w:lastColumn="0" w:noHBand="0" w:noVBand="1"/>
      </w:tblPr>
      <w:tblGrid>
        <w:gridCol w:w="5103"/>
        <w:gridCol w:w="373"/>
        <w:gridCol w:w="961"/>
        <w:gridCol w:w="961"/>
        <w:gridCol w:w="961"/>
        <w:gridCol w:w="961"/>
      </w:tblGrid>
      <w:tr w:rsidR="00F21CDE" w14:paraId="21231381" w14:textId="77777777" w:rsidTr="00CB2216">
        <w:trPr>
          <w:trHeight w:val="297"/>
        </w:trPr>
        <w:tc>
          <w:tcPr>
            <w:tcW w:w="5103" w:type="dxa"/>
            <w:noWrap/>
            <w:tcMar>
              <w:top w:w="0" w:type="dxa"/>
              <w:left w:w="108" w:type="dxa"/>
              <w:bottom w:w="0" w:type="dxa"/>
              <w:right w:w="108" w:type="dxa"/>
            </w:tcMar>
            <w:vAlign w:val="bottom"/>
            <w:hideMark/>
          </w:tcPr>
          <w:p w14:paraId="04E0C629" w14:textId="77777777" w:rsidR="00F21CDE" w:rsidRDefault="00F21CDE" w:rsidP="005E3A03"/>
        </w:tc>
        <w:tc>
          <w:tcPr>
            <w:tcW w:w="373" w:type="dxa"/>
            <w:noWrap/>
            <w:tcMar>
              <w:top w:w="0" w:type="dxa"/>
              <w:left w:w="108" w:type="dxa"/>
              <w:bottom w:w="0" w:type="dxa"/>
              <w:right w:w="108" w:type="dxa"/>
            </w:tcMar>
            <w:vAlign w:val="bottom"/>
            <w:hideMark/>
          </w:tcPr>
          <w:p w14:paraId="3E1EC120" w14:textId="77777777" w:rsidR="00F21CDE" w:rsidRDefault="00F21CDE" w:rsidP="005E3A03">
            <w:pPr>
              <w:rPr>
                <w:rFonts w:ascii="Times New Roman" w:eastAsia="Times New Roman" w:hAnsi="Times New Roman" w:cs="Times New Roman"/>
                <w:sz w:val="20"/>
                <w:szCs w:val="20"/>
                <w:lang w:eastAsia="en-GB"/>
              </w:rPr>
            </w:pPr>
          </w:p>
        </w:tc>
        <w:tc>
          <w:tcPr>
            <w:tcW w:w="961" w:type="dxa"/>
            <w:noWrap/>
            <w:tcMar>
              <w:top w:w="0" w:type="dxa"/>
              <w:left w:w="108" w:type="dxa"/>
              <w:bottom w:w="0" w:type="dxa"/>
              <w:right w:w="108" w:type="dxa"/>
            </w:tcMar>
            <w:vAlign w:val="bottom"/>
            <w:hideMark/>
          </w:tcPr>
          <w:p w14:paraId="3CE3C53D" w14:textId="77777777" w:rsidR="00F21CDE" w:rsidRDefault="00F21CDE" w:rsidP="005E3A03">
            <w:pPr>
              <w:jc w:val="right"/>
              <w:rPr>
                <w:rFonts w:ascii="Calibri" w:hAnsi="Calibri" w:cs="Calibri"/>
                <w:b/>
                <w:bCs/>
                <w:color w:val="000000"/>
                <w:lang w:eastAsia="en-GB"/>
              </w:rPr>
            </w:pPr>
            <w:r>
              <w:rPr>
                <w:rFonts w:ascii="Calibri" w:hAnsi="Calibri" w:cs="Calibri"/>
                <w:b/>
                <w:bCs/>
                <w:color w:val="000000"/>
                <w:lang w:eastAsia="en-GB"/>
              </w:rPr>
              <w:t>25/26</w:t>
            </w:r>
          </w:p>
        </w:tc>
        <w:tc>
          <w:tcPr>
            <w:tcW w:w="961" w:type="dxa"/>
            <w:noWrap/>
            <w:tcMar>
              <w:top w:w="0" w:type="dxa"/>
              <w:left w:w="108" w:type="dxa"/>
              <w:bottom w:w="0" w:type="dxa"/>
              <w:right w:w="108" w:type="dxa"/>
            </w:tcMar>
            <w:vAlign w:val="bottom"/>
            <w:hideMark/>
          </w:tcPr>
          <w:p w14:paraId="09127C1F" w14:textId="77777777" w:rsidR="00F21CDE" w:rsidRDefault="00F21CDE" w:rsidP="005E3A03">
            <w:pPr>
              <w:jc w:val="right"/>
              <w:rPr>
                <w:rFonts w:ascii="Calibri" w:hAnsi="Calibri" w:cs="Calibri"/>
                <w:b/>
                <w:bCs/>
                <w:color w:val="000000"/>
                <w:lang w:eastAsia="en-GB"/>
              </w:rPr>
            </w:pPr>
            <w:r>
              <w:rPr>
                <w:rFonts w:ascii="Calibri" w:hAnsi="Calibri" w:cs="Calibri"/>
                <w:b/>
                <w:bCs/>
                <w:color w:val="000000"/>
                <w:lang w:eastAsia="en-GB"/>
              </w:rPr>
              <w:t>26/27</w:t>
            </w:r>
          </w:p>
        </w:tc>
        <w:tc>
          <w:tcPr>
            <w:tcW w:w="961" w:type="dxa"/>
            <w:noWrap/>
            <w:tcMar>
              <w:top w:w="0" w:type="dxa"/>
              <w:left w:w="108" w:type="dxa"/>
              <w:bottom w:w="0" w:type="dxa"/>
              <w:right w:w="108" w:type="dxa"/>
            </w:tcMar>
            <w:vAlign w:val="bottom"/>
            <w:hideMark/>
          </w:tcPr>
          <w:p w14:paraId="25306544" w14:textId="77777777" w:rsidR="00F21CDE" w:rsidRDefault="00F21CDE" w:rsidP="005E3A03">
            <w:pPr>
              <w:jc w:val="right"/>
              <w:rPr>
                <w:rFonts w:ascii="Calibri" w:hAnsi="Calibri" w:cs="Calibri"/>
                <w:b/>
                <w:bCs/>
                <w:color w:val="000000"/>
                <w:lang w:eastAsia="en-GB"/>
              </w:rPr>
            </w:pPr>
            <w:r>
              <w:rPr>
                <w:rFonts w:ascii="Calibri" w:hAnsi="Calibri" w:cs="Calibri"/>
                <w:b/>
                <w:bCs/>
                <w:color w:val="000000"/>
                <w:lang w:eastAsia="en-GB"/>
              </w:rPr>
              <w:t>27/28</w:t>
            </w:r>
          </w:p>
        </w:tc>
        <w:tc>
          <w:tcPr>
            <w:tcW w:w="961" w:type="dxa"/>
            <w:noWrap/>
            <w:tcMar>
              <w:top w:w="0" w:type="dxa"/>
              <w:left w:w="108" w:type="dxa"/>
              <w:bottom w:w="0" w:type="dxa"/>
              <w:right w:w="108" w:type="dxa"/>
            </w:tcMar>
            <w:vAlign w:val="bottom"/>
            <w:hideMark/>
          </w:tcPr>
          <w:p w14:paraId="4CA9976D" w14:textId="77777777" w:rsidR="00F21CDE" w:rsidRDefault="00F21CDE" w:rsidP="005E3A03">
            <w:pPr>
              <w:jc w:val="right"/>
              <w:rPr>
                <w:rFonts w:ascii="Calibri" w:hAnsi="Calibri" w:cs="Calibri"/>
                <w:b/>
                <w:bCs/>
                <w:color w:val="000000"/>
                <w:lang w:eastAsia="en-GB"/>
              </w:rPr>
            </w:pPr>
            <w:r>
              <w:rPr>
                <w:rFonts w:ascii="Calibri" w:hAnsi="Calibri" w:cs="Calibri"/>
                <w:b/>
                <w:bCs/>
                <w:color w:val="000000"/>
                <w:lang w:eastAsia="en-GB"/>
              </w:rPr>
              <w:t>28/29</w:t>
            </w:r>
          </w:p>
        </w:tc>
      </w:tr>
      <w:tr w:rsidR="00F21CDE" w14:paraId="0474342A" w14:textId="77777777" w:rsidTr="00CB2216">
        <w:trPr>
          <w:trHeight w:val="297"/>
        </w:trPr>
        <w:tc>
          <w:tcPr>
            <w:tcW w:w="5103" w:type="dxa"/>
            <w:noWrap/>
            <w:tcMar>
              <w:top w:w="0" w:type="dxa"/>
              <w:left w:w="108" w:type="dxa"/>
              <w:bottom w:w="0" w:type="dxa"/>
              <w:right w:w="108" w:type="dxa"/>
            </w:tcMar>
            <w:vAlign w:val="bottom"/>
            <w:hideMark/>
          </w:tcPr>
          <w:p w14:paraId="59B00CB6" w14:textId="77777777" w:rsidR="00F21CDE" w:rsidRDefault="00F21CDE" w:rsidP="005E3A03">
            <w:pPr>
              <w:rPr>
                <w:rFonts w:ascii="Calibri" w:hAnsi="Calibri" w:cs="Calibri"/>
                <w:color w:val="000000"/>
                <w:lang w:eastAsia="en-GB"/>
              </w:rPr>
            </w:pPr>
            <w:r>
              <w:rPr>
                <w:rFonts w:ascii="Calibri" w:hAnsi="Calibri" w:cs="Calibri"/>
                <w:color w:val="000000"/>
                <w:lang w:eastAsia="en-GB"/>
              </w:rPr>
              <w:t>PCSOs Savings</w:t>
            </w:r>
          </w:p>
        </w:tc>
        <w:tc>
          <w:tcPr>
            <w:tcW w:w="373" w:type="dxa"/>
            <w:noWrap/>
            <w:tcMar>
              <w:top w:w="0" w:type="dxa"/>
              <w:left w:w="108" w:type="dxa"/>
              <w:bottom w:w="0" w:type="dxa"/>
              <w:right w:w="108" w:type="dxa"/>
            </w:tcMar>
            <w:vAlign w:val="bottom"/>
            <w:hideMark/>
          </w:tcPr>
          <w:p w14:paraId="51E47B95" w14:textId="77777777" w:rsidR="00F21CDE" w:rsidRDefault="00F21CDE" w:rsidP="005E3A03">
            <w:pPr>
              <w:rPr>
                <w:rFonts w:ascii="Calibri" w:hAnsi="Calibri" w:cs="Calibri"/>
                <w:color w:val="000000"/>
                <w:lang w:eastAsia="en-GB"/>
              </w:rPr>
            </w:pPr>
          </w:p>
        </w:tc>
        <w:tc>
          <w:tcPr>
            <w:tcW w:w="961" w:type="dxa"/>
            <w:noWrap/>
            <w:tcMar>
              <w:top w:w="0" w:type="dxa"/>
              <w:left w:w="108" w:type="dxa"/>
              <w:bottom w:w="0" w:type="dxa"/>
              <w:right w:w="108" w:type="dxa"/>
            </w:tcMar>
            <w:vAlign w:val="bottom"/>
            <w:hideMark/>
          </w:tcPr>
          <w:p w14:paraId="4565D853" w14:textId="77777777" w:rsidR="00F21CDE" w:rsidRDefault="00F21CDE" w:rsidP="005E3A03">
            <w:pPr>
              <w:jc w:val="right"/>
              <w:rPr>
                <w:rFonts w:ascii="Arial" w:hAnsi="Arial" w:cs="Arial"/>
                <w:sz w:val="20"/>
                <w:szCs w:val="20"/>
                <w:lang w:eastAsia="en-GB"/>
              </w:rPr>
            </w:pPr>
            <w:r>
              <w:rPr>
                <w:rFonts w:ascii="Arial" w:hAnsi="Arial" w:cs="Arial"/>
                <w:color w:val="FF0000"/>
                <w:sz w:val="20"/>
                <w:szCs w:val="20"/>
                <w:lang w:eastAsia="en-GB"/>
              </w:rPr>
              <w:t>(4,704)</w:t>
            </w:r>
          </w:p>
        </w:tc>
        <w:tc>
          <w:tcPr>
            <w:tcW w:w="961" w:type="dxa"/>
            <w:noWrap/>
            <w:tcMar>
              <w:top w:w="0" w:type="dxa"/>
              <w:left w:w="108" w:type="dxa"/>
              <w:bottom w:w="0" w:type="dxa"/>
              <w:right w:w="108" w:type="dxa"/>
            </w:tcMar>
            <w:vAlign w:val="bottom"/>
            <w:hideMark/>
          </w:tcPr>
          <w:p w14:paraId="6F28AFC8" w14:textId="77777777" w:rsidR="00F21CDE" w:rsidRDefault="00F21CDE" w:rsidP="005E3A03">
            <w:pPr>
              <w:jc w:val="right"/>
              <w:rPr>
                <w:rFonts w:ascii="Arial" w:hAnsi="Arial" w:cs="Arial"/>
                <w:sz w:val="20"/>
                <w:szCs w:val="20"/>
                <w:lang w:eastAsia="en-GB"/>
              </w:rPr>
            </w:pPr>
            <w:r>
              <w:rPr>
                <w:rFonts w:ascii="Arial" w:hAnsi="Arial" w:cs="Arial"/>
                <w:color w:val="FF0000"/>
                <w:sz w:val="20"/>
                <w:szCs w:val="20"/>
                <w:lang w:eastAsia="en-GB"/>
              </w:rPr>
              <w:t>(7,869)</w:t>
            </w:r>
          </w:p>
        </w:tc>
        <w:tc>
          <w:tcPr>
            <w:tcW w:w="961" w:type="dxa"/>
            <w:noWrap/>
            <w:tcMar>
              <w:top w:w="0" w:type="dxa"/>
              <w:left w:w="108" w:type="dxa"/>
              <w:bottom w:w="0" w:type="dxa"/>
              <w:right w:w="108" w:type="dxa"/>
            </w:tcMar>
            <w:vAlign w:val="bottom"/>
            <w:hideMark/>
          </w:tcPr>
          <w:p w14:paraId="06EC7E60" w14:textId="77777777" w:rsidR="00F21CDE" w:rsidRDefault="00F21CDE" w:rsidP="005E3A03">
            <w:pPr>
              <w:jc w:val="right"/>
              <w:rPr>
                <w:rFonts w:ascii="Arial" w:hAnsi="Arial" w:cs="Arial"/>
                <w:sz w:val="20"/>
                <w:szCs w:val="20"/>
                <w:lang w:eastAsia="en-GB"/>
              </w:rPr>
            </w:pPr>
            <w:r>
              <w:rPr>
                <w:rFonts w:ascii="Arial" w:hAnsi="Arial" w:cs="Arial"/>
                <w:color w:val="FF0000"/>
                <w:sz w:val="20"/>
                <w:szCs w:val="20"/>
                <w:lang w:eastAsia="en-GB"/>
              </w:rPr>
              <w:t>(11,747)</w:t>
            </w:r>
          </w:p>
        </w:tc>
        <w:tc>
          <w:tcPr>
            <w:tcW w:w="961" w:type="dxa"/>
            <w:noWrap/>
            <w:tcMar>
              <w:top w:w="0" w:type="dxa"/>
              <w:left w:w="108" w:type="dxa"/>
              <w:bottom w:w="0" w:type="dxa"/>
              <w:right w:w="108" w:type="dxa"/>
            </w:tcMar>
            <w:vAlign w:val="bottom"/>
            <w:hideMark/>
          </w:tcPr>
          <w:p w14:paraId="39B8DFF3" w14:textId="77777777" w:rsidR="00F21CDE" w:rsidRDefault="00F21CDE" w:rsidP="005E3A03">
            <w:pPr>
              <w:jc w:val="right"/>
              <w:rPr>
                <w:rFonts w:ascii="Arial" w:hAnsi="Arial" w:cs="Arial"/>
                <w:sz w:val="20"/>
                <w:szCs w:val="20"/>
                <w:lang w:eastAsia="en-GB"/>
              </w:rPr>
            </w:pPr>
            <w:r>
              <w:rPr>
                <w:rFonts w:ascii="Arial" w:hAnsi="Arial" w:cs="Arial"/>
                <w:color w:val="FF0000"/>
                <w:sz w:val="20"/>
                <w:szCs w:val="20"/>
                <w:lang w:eastAsia="en-GB"/>
              </w:rPr>
              <w:t>(15,611)</w:t>
            </w:r>
          </w:p>
        </w:tc>
      </w:tr>
      <w:tr w:rsidR="00F21CDE" w14:paraId="47EE5F52" w14:textId="77777777" w:rsidTr="00CB2216">
        <w:trPr>
          <w:trHeight w:val="297"/>
        </w:trPr>
        <w:tc>
          <w:tcPr>
            <w:tcW w:w="5103" w:type="dxa"/>
            <w:noWrap/>
            <w:tcMar>
              <w:top w:w="0" w:type="dxa"/>
              <w:left w:w="108" w:type="dxa"/>
              <w:bottom w:w="0" w:type="dxa"/>
              <w:right w:w="108" w:type="dxa"/>
            </w:tcMar>
            <w:vAlign w:val="bottom"/>
            <w:hideMark/>
          </w:tcPr>
          <w:p w14:paraId="7901DC49" w14:textId="77777777" w:rsidR="00F21CDE" w:rsidRDefault="00F21CDE" w:rsidP="005E3A03">
            <w:pPr>
              <w:rPr>
                <w:rFonts w:ascii="Calibri" w:hAnsi="Calibri" w:cs="Calibri"/>
                <w:color w:val="000000"/>
                <w:lang w:eastAsia="en-GB"/>
              </w:rPr>
            </w:pPr>
            <w:r>
              <w:rPr>
                <w:rFonts w:ascii="Calibri" w:hAnsi="Calibri" w:cs="Calibri"/>
                <w:color w:val="000000"/>
                <w:lang w:eastAsia="en-GB"/>
              </w:rPr>
              <w:t>Grey Role Savings</w:t>
            </w:r>
          </w:p>
        </w:tc>
        <w:tc>
          <w:tcPr>
            <w:tcW w:w="373" w:type="dxa"/>
            <w:noWrap/>
            <w:tcMar>
              <w:top w:w="0" w:type="dxa"/>
              <w:left w:w="108" w:type="dxa"/>
              <w:bottom w:w="0" w:type="dxa"/>
              <w:right w:w="108" w:type="dxa"/>
            </w:tcMar>
            <w:vAlign w:val="bottom"/>
            <w:hideMark/>
          </w:tcPr>
          <w:p w14:paraId="576CE317" w14:textId="77777777" w:rsidR="00F21CDE" w:rsidRDefault="00F21CDE" w:rsidP="005E3A03">
            <w:pPr>
              <w:rPr>
                <w:rFonts w:ascii="Calibri" w:hAnsi="Calibri" w:cs="Calibri"/>
                <w:color w:val="000000"/>
                <w:lang w:eastAsia="en-GB"/>
              </w:rPr>
            </w:pPr>
          </w:p>
        </w:tc>
        <w:tc>
          <w:tcPr>
            <w:tcW w:w="961" w:type="dxa"/>
            <w:noWrap/>
            <w:tcMar>
              <w:top w:w="0" w:type="dxa"/>
              <w:left w:w="108" w:type="dxa"/>
              <w:bottom w:w="0" w:type="dxa"/>
              <w:right w:w="108" w:type="dxa"/>
            </w:tcMar>
            <w:vAlign w:val="bottom"/>
            <w:hideMark/>
          </w:tcPr>
          <w:p w14:paraId="0750CBE4" w14:textId="77777777" w:rsidR="00F21CDE" w:rsidRDefault="00F21CDE" w:rsidP="005E3A03">
            <w:pPr>
              <w:jc w:val="right"/>
              <w:rPr>
                <w:rFonts w:ascii="Arial" w:hAnsi="Arial" w:cs="Arial"/>
                <w:sz w:val="20"/>
                <w:szCs w:val="20"/>
                <w:lang w:eastAsia="en-GB"/>
              </w:rPr>
            </w:pPr>
            <w:r>
              <w:rPr>
                <w:rFonts w:ascii="Arial" w:hAnsi="Arial" w:cs="Arial"/>
                <w:color w:val="FF0000"/>
                <w:sz w:val="20"/>
                <w:szCs w:val="20"/>
                <w:lang w:eastAsia="en-GB"/>
              </w:rPr>
              <w:t>(3,997)</w:t>
            </w:r>
          </w:p>
        </w:tc>
        <w:tc>
          <w:tcPr>
            <w:tcW w:w="961" w:type="dxa"/>
            <w:noWrap/>
            <w:tcMar>
              <w:top w:w="0" w:type="dxa"/>
              <w:left w:w="108" w:type="dxa"/>
              <w:bottom w:w="0" w:type="dxa"/>
              <w:right w:w="108" w:type="dxa"/>
            </w:tcMar>
            <w:vAlign w:val="bottom"/>
            <w:hideMark/>
          </w:tcPr>
          <w:p w14:paraId="41AA97D6" w14:textId="77777777" w:rsidR="00F21CDE" w:rsidRDefault="00F21CDE" w:rsidP="005E3A03">
            <w:pPr>
              <w:jc w:val="right"/>
              <w:rPr>
                <w:rFonts w:ascii="Arial" w:hAnsi="Arial" w:cs="Arial"/>
                <w:sz w:val="20"/>
                <w:szCs w:val="20"/>
                <w:lang w:eastAsia="en-GB"/>
              </w:rPr>
            </w:pPr>
            <w:r>
              <w:rPr>
                <w:rFonts w:ascii="Arial" w:hAnsi="Arial" w:cs="Arial"/>
                <w:color w:val="FF0000"/>
                <w:sz w:val="20"/>
                <w:szCs w:val="20"/>
                <w:lang w:eastAsia="en-GB"/>
              </w:rPr>
              <w:t>(5,012)</w:t>
            </w:r>
          </w:p>
        </w:tc>
        <w:tc>
          <w:tcPr>
            <w:tcW w:w="961" w:type="dxa"/>
            <w:noWrap/>
            <w:tcMar>
              <w:top w:w="0" w:type="dxa"/>
              <w:left w:w="108" w:type="dxa"/>
              <w:bottom w:w="0" w:type="dxa"/>
              <w:right w:w="108" w:type="dxa"/>
            </w:tcMar>
            <w:vAlign w:val="bottom"/>
            <w:hideMark/>
          </w:tcPr>
          <w:p w14:paraId="488FB473" w14:textId="77777777" w:rsidR="00F21CDE" w:rsidRDefault="00F21CDE" w:rsidP="005E3A03">
            <w:pPr>
              <w:jc w:val="right"/>
              <w:rPr>
                <w:rFonts w:ascii="Arial" w:hAnsi="Arial" w:cs="Arial"/>
                <w:sz w:val="20"/>
                <w:szCs w:val="20"/>
                <w:lang w:eastAsia="en-GB"/>
              </w:rPr>
            </w:pPr>
            <w:r>
              <w:rPr>
                <w:rFonts w:ascii="Arial" w:hAnsi="Arial" w:cs="Arial"/>
                <w:color w:val="FF0000"/>
                <w:sz w:val="20"/>
                <w:szCs w:val="20"/>
                <w:lang w:eastAsia="en-GB"/>
              </w:rPr>
              <w:t>(5,054)</w:t>
            </w:r>
          </w:p>
        </w:tc>
        <w:tc>
          <w:tcPr>
            <w:tcW w:w="961" w:type="dxa"/>
            <w:noWrap/>
            <w:tcMar>
              <w:top w:w="0" w:type="dxa"/>
              <w:left w:w="108" w:type="dxa"/>
              <w:bottom w:w="0" w:type="dxa"/>
              <w:right w:w="108" w:type="dxa"/>
            </w:tcMar>
            <w:vAlign w:val="bottom"/>
            <w:hideMark/>
          </w:tcPr>
          <w:p w14:paraId="4C0A7319" w14:textId="77777777" w:rsidR="00F21CDE" w:rsidRDefault="00F21CDE" w:rsidP="005E3A03">
            <w:pPr>
              <w:jc w:val="right"/>
              <w:rPr>
                <w:rFonts w:ascii="Arial" w:hAnsi="Arial" w:cs="Arial"/>
                <w:sz w:val="20"/>
                <w:szCs w:val="20"/>
                <w:lang w:eastAsia="en-GB"/>
              </w:rPr>
            </w:pPr>
            <w:r>
              <w:rPr>
                <w:rFonts w:ascii="Arial" w:hAnsi="Arial" w:cs="Arial"/>
                <w:color w:val="FF0000"/>
                <w:sz w:val="20"/>
                <w:szCs w:val="20"/>
                <w:lang w:eastAsia="en-GB"/>
              </w:rPr>
              <w:t>(5,098)</w:t>
            </w:r>
          </w:p>
        </w:tc>
      </w:tr>
      <w:tr w:rsidR="00F21CDE" w14:paraId="27E0E246" w14:textId="77777777" w:rsidTr="00CB2216">
        <w:trPr>
          <w:trHeight w:val="297"/>
        </w:trPr>
        <w:tc>
          <w:tcPr>
            <w:tcW w:w="5103" w:type="dxa"/>
            <w:noWrap/>
            <w:tcMar>
              <w:top w:w="0" w:type="dxa"/>
              <w:left w:w="108" w:type="dxa"/>
              <w:bottom w:w="0" w:type="dxa"/>
              <w:right w:w="108" w:type="dxa"/>
            </w:tcMar>
            <w:vAlign w:val="bottom"/>
            <w:hideMark/>
          </w:tcPr>
          <w:p w14:paraId="1ECBB371" w14:textId="5A36E778" w:rsidR="00F21CDE" w:rsidRDefault="00145E7E" w:rsidP="005E3A03">
            <w:pPr>
              <w:rPr>
                <w:rFonts w:ascii="Calibri" w:hAnsi="Calibri" w:cs="Calibri"/>
                <w:color w:val="000000"/>
                <w:lang w:eastAsia="en-GB"/>
              </w:rPr>
            </w:pPr>
            <w:r>
              <w:rPr>
                <w:rFonts w:ascii="Calibri" w:hAnsi="Calibri" w:cs="Calibri"/>
                <w:color w:val="000000"/>
                <w:lang w:eastAsia="en-GB"/>
              </w:rPr>
              <w:t>Digital Forensics Unit (DFU)</w:t>
            </w:r>
            <w:r w:rsidR="00F21CDE">
              <w:rPr>
                <w:rFonts w:ascii="Calibri" w:hAnsi="Calibri" w:cs="Calibri"/>
                <w:color w:val="000000"/>
                <w:lang w:eastAsia="en-GB"/>
              </w:rPr>
              <w:t xml:space="preserve"> PBB Service Level Change</w:t>
            </w:r>
          </w:p>
        </w:tc>
        <w:tc>
          <w:tcPr>
            <w:tcW w:w="373" w:type="dxa"/>
            <w:noWrap/>
            <w:tcMar>
              <w:top w:w="0" w:type="dxa"/>
              <w:left w:w="108" w:type="dxa"/>
              <w:bottom w:w="0" w:type="dxa"/>
              <w:right w:w="108" w:type="dxa"/>
            </w:tcMar>
            <w:vAlign w:val="bottom"/>
            <w:hideMark/>
          </w:tcPr>
          <w:p w14:paraId="07AFCA0D" w14:textId="77777777" w:rsidR="00F21CDE" w:rsidRDefault="00F21CDE" w:rsidP="005E3A03">
            <w:pPr>
              <w:rPr>
                <w:rFonts w:ascii="Calibri" w:hAnsi="Calibri" w:cs="Calibri"/>
                <w:color w:val="000000"/>
                <w:lang w:eastAsia="en-GB"/>
              </w:rPr>
            </w:pPr>
          </w:p>
        </w:tc>
        <w:tc>
          <w:tcPr>
            <w:tcW w:w="961" w:type="dxa"/>
            <w:noWrap/>
            <w:tcMar>
              <w:top w:w="0" w:type="dxa"/>
              <w:left w:w="108" w:type="dxa"/>
              <w:bottom w:w="0" w:type="dxa"/>
              <w:right w:w="108" w:type="dxa"/>
            </w:tcMar>
            <w:vAlign w:val="bottom"/>
            <w:hideMark/>
          </w:tcPr>
          <w:p w14:paraId="7DE6F995" w14:textId="77777777" w:rsidR="00F21CDE" w:rsidRDefault="00F21CDE" w:rsidP="005E3A03">
            <w:pPr>
              <w:jc w:val="right"/>
              <w:rPr>
                <w:rFonts w:ascii="Arial" w:hAnsi="Arial" w:cs="Arial"/>
                <w:sz w:val="20"/>
                <w:szCs w:val="20"/>
                <w:lang w:eastAsia="en-GB"/>
              </w:rPr>
            </w:pPr>
            <w:r>
              <w:rPr>
                <w:rFonts w:ascii="Arial" w:hAnsi="Arial" w:cs="Arial"/>
                <w:color w:val="FF0000"/>
                <w:sz w:val="20"/>
                <w:szCs w:val="20"/>
                <w:lang w:eastAsia="en-GB"/>
              </w:rPr>
              <w:t>(1,200)</w:t>
            </w:r>
          </w:p>
        </w:tc>
        <w:tc>
          <w:tcPr>
            <w:tcW w:w="961" w:type="dxa"/>
            <w:noWrap/>
            <w:tcMar>
              <w:top w:w="0" w:type="dxa"/>
              <w:left w:w="108" w:type="dxa"/>
              <w:bottom w:w="0" w:type="dxa"/>
              <w:right w:w="108" w:type="dxa"/>
            </w:tcMar>
            <w:vAlign w:val="bottom"/>
            <w:hideMark/>
          </w:tcPr>
          <w:p w14:paraId="2101D76C" w14:textId="77777777" w:rsidR="00F21CDE" w:rsidRDefault="00F21CDE" w:rsidP="005E3A03">
            <w:pPr>
              <w:jc w:val="right"/>
              <w:rPr>
                <w:rFonts w:ascii="Arial" w:hAnsi="Arial" w:cs="Arial"/>
                <w:sz w:val="20"/>
                <w:szCs w:val="20"/>
                <w:lang w:eastAsia="en-GB"/>
              </w:rPr>
            </w:pPr>
            <w:r>
              <w:rPr>
                <w:rFonts w:ascii="Arial" w:hAnsi="Arial" w:cs="Arial"/>
                <w:color w:val="FF0000"/>
                <w:sz w:val="20"/>
                <w:szCs w:val="20"/>
                <w:lang w:eastAsia="en-GB"/>
              </w:rPr>
              <w:t>(1,224)</w:t>
            </w:r>
          </w:p>
        </w:tc>
        <w:tc>
          <w:tcPr>
            <w:tcW w:w="961" w:type="dxa"/>
            <w:noWrap/>
            <w:tcMar>
              <w:top w:w="0" w:type="dxa"/>
              <w:left w:w="108" w:type="dxa"/>
              <w:bottom w:w="0" w:type="dxa"/>
              <w:right w:w="108" w:type="dxa"/>
            </w:tcMar>
            <w:vAlign w:val="bottom"/>
            <w:hideMark/>
          </w:tcPr>
          <w:p w14:paraId="5EB1FB50" w14:textId="77777777" w:rsidR="00F21CDE" w:rsidRDefault="00F21CDE" w:rsidP="005E3A03">
            <w:pPr>
              <w:jc w:val="right"/>
              <w:rPr>
                <w:rFonts w:ascii="Arial" w:hAnsi="Arial" w:cs="Arial"/>
                <w:sz w:val="20"/>
                <w:szCs w:val="20"/>
                <w:lang w:eastAsia="en-GB"/>
              </w:rPr>
            </w:pPr>
            <w:r>
              <w:rPr>
                <w:rFonts w:ascii="Arial" w:hAnsi="Arial" w:cs="Arial"/>
                <w:color w:val="FF0000"/>
                <w:sz w:val="20"/>
                <w:szCs w:val="20"/>
                <w:lang w:eastAsia="en-GB"/>
              </w:rPr>
              <w:t>(1,248)</w:t>
            </w:r>
          </w:p>
        </w:tc>
        <w:tc>
          <w:tcPr>
            <w:tcW w:w="961" w:type="dxa"/>
            <w:noWrap/>
            <w:tcMar>
              <w:top w:w="0" w:type="dxa"/>
              <w:left w:w="108" w:type="dxa"/>
              <w:bottom w:w="0" w:type="dxa"/>
              <w:right w:w="108" w:type="dxa"/>
            </w:tcMar>
            <w:vAlign w:val="bottom"/>
            <w:hideMark/>
          </w:tcPr>
          <w:p w14:paraId="6D0304ED" w14:textId="77777777" w:rsidR="00F21CDE" w:rsidRDefault="00F21CDE" w:rsidP="005E3A03">
            <w:pPr>
              <w:jc w:val="right"/>
              <w:rPr>
                <w:rFonts w:ascii="Arial" w:hAnsi="Arial" w:cs="Arial"/>
                <w:sz w:val="20"/>
                <w:szCs w:val="20"/>
                <w:lang w:eastAsia="en-GB"/>
              </w:rPr>
            </w:pPr>
            <w:r>
              <w:rPr>
                <w:rFonts w:ascii="Arial" w:hAnsi="Arial" w:cs="Arial"/>
                <w:color w:val="FF0000"/>
                <w:sz w:val="20"/>
                <w:szCs w:val="20"/>
                <w:lang w:eastAsia="en-GB"/>
              </w:rPr>
              <w:t>(1,273)</w:t>
            </w:r>
          </w:p>
        </w:tc>
      </w:tr>
      <w:tr w:rsidR="00F21CDE" w14:paraId="4E9882FC" w14:textId="77777777" w:rsidTr="00CB2216">
        <w:trPr>
          <w:trHeight w:val="412"/>
        </w:trPr>
        <w:tc>
          <w:tcPr>
            <w:tcW w:w="5103" w:type="dxa"/>
            <w:noWrap/>
            <w:tcMar>
              <w:top w:w="0" w:type="dxa"/>
              <w:left w:w="108" w:type="dxa"/>
              <w:bottom w:w="0" w:type="dxa"/>
              <w:right w:w="108" w:type="dxa"/>
            </w:tcMar>
            <w:vAlign w:val="bottom"/>
            <w:hideMark/>
          </w:tcPr>
          <w:p w14:paraId="795559BD" w14:textId="77777777" w:rsidR="00F21CDE" w:rsidRDefault="00F21CDE" w:rsidP="005E3A03">
            <w:pPr>
              <w:rPr>
                <w:rFonts w:ascii="Calibri" w:hAnsi="Calibri" w:cs="Calibri"/>
                <w:color w:val="000000"/>
                <w:lang w:eastAsia="en-GB"/>
              </w:rPr>
            </w:pPr>
            <w:r>
              <w:rPr>
                <w:rFonts w:ascii="Calibri" w:hAnsi="Calibri" w:cs="Calibri"/>
                <w:color w:val="000000"/>
                <w:lang w:eastAsia="en-GB"/>
              </w:rPr>
              <w:t>Other PBB Productivity and Service Level Changes</w:t>
            </w:r>
          </w:p>
        </w:tc>
        <w:tc>
          <w:tcPr>
            <w:tcW w:w="373" w:type="dxa"/>
            <w:noWrap/>
            <w:tcMar>
              <w:top w:w="0" w:type="dxa"/>
              <w:left w:w="108" w:type="dxa"/>
              <w:bottom w:w="0" w:type="dxa"/>
              <w:right w:w="108" w:type="dxa"/>
            </w:tcMar>
            <w:vAlign w:val="bottom"/>
            <w:hideMark/>
          </w:tcPr>
          <w:p w14:paraId="5A609E58" w14:textId="77777777" w:rsidR="00F21CDE" w:rsidRDefault="00F21CDE" w:rsidP="005E3A03">
            <w:pPr>
              <w:rPr>
                <w:rFonts w:ascii="Calibri" w:hAnsi="Calibri" w:cs="Calibri"/>
                <w:color w:val="000000"/>
                <w:lang w:eastAsia="en-GB"/>
              </w:rPr>
            </w:pPr>
          </w:p>
        </w:tc>
        <w:tc>
          <w:tcPr>
            <w:tcW w:w="961" w:type="dxa"/>
            <w:noWrap/>
            <w:tcMar>
              <w:top w:w="0" w:type="dxa"/>
              <w:left w:w="108" w:type="dxa"/>
              <w:bottom w:w="0" w:type="dxa"/>
              <w:right w:w="108" w:type="dxa"/>
            </w:tcMar>
            <w:vAlign w:val="bottom"/>
            <w:hideMark/>
          </w:tcPr>
          <w:p w14:paraId="47A78B62" w14:textId="77777777" w:rsidR="00F21CDE" w:rsidRDefault="00F21CDE" w:rsidP="005E3A03">
            <w:pPr>
              <w:jc w:val="right"/>
              <w:rPr>
                <w:rFonts w:ascii="Arial" w:hAnsi="Arial" w:cs="Arial"/>
                <w:sz w:val="20"/>
                <w:szCs w:val="20"/>
                <w:lang w:eastAsia="en-GB"/>
              </w:rPr>
            </w:pPr>
            <w:r>
              <w:rPr>
                <w:rFonts w:ascii="Arial" w:hAnsi="Arial" w:cs="Arial"/>
                <w:color w:val="FF0000"/>
                <w:sz w:val="20"/>
                <w:szCs w:val="20"/>
                <w:lang w:eastAsia="en-GB"/>
              </w:rPr>
              <w:t>(293)</w:t>
            </w:r>
          </w:p>
        </w:tc>
        <w:tc>
          <w:tcPr>
            <w:tcW w:w="961" w:type="dxa"/>
            <w:noWrap/>
            <w:tcMar>
              <w:top w:w="0" w:type="dxa"/>
              <w:left w:w="108" w:type="dxa"/>
              <w:bottom w:w="0" w:type="dxa"/>
              <w:right w:w="108" w:type="dxa"/>
            </w:tcMar>
            <w:vAlign w:val="bottom"/>
            <w:hideMark/>
          </w:tcPr>
          <w:p w14:paraId="019AFA49" w14:textId="77777777" w:rsidR="00F21CDE" w:rsidRDefault="00F21CDE" w:rsidP="005E3A03">
            <w:pPr>
              <w:jc w:val="right"/>
              <w:rPr>
                <w:rFonts w:ascii="Arial" w:hAnsi="Arial" w:cs="Arial"/>
                <w:sz w:val="20"/>
                <w:szCs w:val="20"/>
                <w:lang w:eastAsia="en-GB"/>
              </w:rPr>
            </w:pPr>
            <w:r>
              <w:rPr>
                <w:rFonts w:ascii="Arial" w:hAnsi="Arial" w:cs="Arial"/>
                <w:color w:val="FF0000"/>
                <w:sz w:val="20"/>
                <w:szCs w:val="20"/>
                <w:lang w:eastAsia="en-GB"/>
              </w:rPr>
              <w:t>(230)</w:t>
            </w:r>
          </w:p>
        </w:tc>
        <w:tc>
          <w:tcPr>
            <w:tcW w:w="961" w:type="dxa"/>
            <w:noWrap/>
            <w:tcMar>
              <w:top w:w="0" w:type="dxa"/>
              <w:left w:w="108" w:type="dxa"/>
              <w:bottom w:w="0" w:type="dxa"/>
              <w:right w:w="108" w:type="dxa"/>
            </w:tcMar>
            <w:vAlign w:val="bottom"/>
            <w:hideMark/>
          </w:tcPr>
          <w:p w14:paraId="3180612B" w14:textId="77777777" w:rsidR="00F21CDE" w:rsidRDefault="00F21CDE" w:rsidP="005E3A03">
            <w:pPr>
              <w:jc w:val="right"/>
              <w:rPr>
                <w:rFonts w:ascii="Arial" w:hAnsi="Arial" w:cs="Arial"/>
                <w:sz w:val="20"/>
                <w:szCs w:val="20"/>
                <w:lang w:eastAsia="en-GB"/>
              </w:rPr>
            </w:pPr>
            <w:r>
              <w:rPr>
                <w:rFonts w:ascii="Arial" w:hAnsi="Arial" w:cs="Arial"/>
                <w:color w:val="FF0000"/>
                <w:sz w:val="20"/>
                <w:szCs w:val="20"/>
                <w:lang w:eastAsia="en-GB"/>
              </w:rPr>
              <w:t>(230)</w:t>
            </w:r>
          </w:p>
        </w:tc>
        <w:tc>
          <w:tcPr>
            <w:tcW w:w="961" w:type="dxa"/>
            <w:noWrap/>
            <w:tcMar>
              <w:top w:w="0" w:type="dxa"/>
              <w:left w:w="108" w:type="dxa"/>
              <w:bottom w:w="0" w:type="dxa"/>
              <w:right w:w="108" w:type="dxa"/>
            </w:tcMar>
            <w:vAlign w:val="bottom"/>
            <w:hideMark/>
          </w:tcPr>
          <w:p w14:paraId="251C6D44" w14:textId="77777777" w:rsidR="00F21CDE" w:rsidRDefault="00F21CDE" w:rsidP="005E3A03">
            <w:pPr>
              <w:jc w:val="right"/>
              <w:rPr>
                <w:rFonts w:ascii="Arial" w:hAnsi="Arial" w:cs="Arial"/>
                <w:sz w:val="20"/>
                <w:szCs w:val="20"/>
                <w:lang w:eastAsia="en-GB"/>
              </w:rPr>
            </w:pPr>
            <w:r>
              <w:rPr>
                <w:rFonts w:ascii="Arial" w:hAnsi="Arial" w:cs="Arial"/>
                <w:color w:val="FF0000"/>
                <w:sz w:val="20"/>
                <w:szCs w:val="20"/>
                <w:lang w:eastAsia="en-GB"/>
              </w:rPr>
              <w:t>(230)</w:t>
            </w:r>
          </w:p>
        </w:tc>
      </w:tr>
      <w:tr w:rsidR="00F21CDE" w14:paraId="25223C24" w14:textId="77777777" w:rsidTr="00CB2216">
        <w:trPr>
          <w:trHeight w:val="412"/>
        </w:trPr>
        <w:tc>
          <w:tcPr>
            <w:tcW w:w="5103" w:type="dxa"/>
            <w:tcBorders>
              <w:top w:val="single" w:sz="8" w:space="0" w:color="auto"/>
              <w:left w:val="nil"/>
              <w:bottom w:val="single" w:sz="8" w:space="0" w:color="auto"/>
              <w:right w:val="nil"/>
            </w:tcBorders>
            <w:shd w:val="clear" w:color="auto" w:fill="EBEEF1"/>
            <w:noWrap/>
            <w:tcMar>
              <w:top w:w="0" w:type="dxa"/>
              <w:left w:w="108" w:type="dxa"/>
              <w:bottom w:w="0" w:type="dxa"/>
              <w:right w:w="108" w:type="dxa"/>
            </w:tcMar>
            <w:vAlign w:val="bottom"/>
            <w:hideMark/>
          </w:tcPr>
          <w:p w14:paraId="4BE5E55C" w14:textId="77777777" w:rsidR="00F21CDE" w:rsidRDefault="00F21CDE" w:rsidP="005E3A03">
            <w:pPr>
              <w:rPr>
                <w:rFonts w:ascii="Calibri" w:hAnsi="Calibri" w:cs="Calibri"/>
                <w:b/>
                <w:bCs/>
                <w:color w:val="000000"/>
                <w:lang w:eastAsia="en-GB"/>
              </w:rPr>
            </w:pPr>
            <w:r>
              <w:rPr>
                <w:rFonts w:ascii="Calibri" w:hAnsi="Calibri" w:cs="Calibri"/>
                <w:b/>
                <w:bCs/>
                <w:color w:val="000000"/>
                <w:lang w:eastAsia="en-GB"/>
              </w:rPr>
              <w:t>Achieved in the MTFF</w:t>
            </w:r>
          </w:p>
        </w:tc>
        <w:tc>
          <w:tcPr>
            <w:tcW w:w="373" w:type="dxa"/>
            <w:tcBorders>
              <w:top w:val="single" w:sz="8" w:space="0" w:color="auto"/>
              <w:left w:val="nil"/>
              <w:bottom w:val="single" w:sz="8" w:space="0" w:color="auto"/>
              <w:right w:val="nil"/>
            </w:tcBorders>
            <w:shd w:val="clear" w:color="auto" w:fill="EBEEF1"/>
            <w:noWrap/>
            <w:tcMar>
              <w:top w:w="0" w:type="dxa"/>
              <w:left w:w="108" w:type="dxa"/>
              <w:bottom w:w="0" w:type="dxa"/>
              <w:right w:w="108" w:type="dxa"/>
            </w:tcMar>
            <w:vAlign w:val="bottom"/>
            <w:hideMark/>
          </w:tcPr>
          <w:p w14:paraId="4D9CDA7B" w14:textId="77777777" w:rsidR="00F21CDE" w:rsidRDefault="00F21CDE" w:rsidP="005E3A03">
            <w:pPr>
              <w:rPr>
                <w:rFonts w:ascii="Calibri" w:hAnsi="Calibri" w:cs="Calibri"/>
                <w:color w:val="000000"/>
                <w:lang w:eastAsia="en-GB"/>
              </w:rPr>
            </w:pPr>
            <w:r>
              <w:rPr>
                <w:rFonts w:ascii="Calibri" w:hAnsi="Calibri" w:cs="Calibri"/>
                <w:color w:val="000000"/>
                <w:lang w:eastAsia="en-GB"/>
              </w:rPr>
              <w:t> </w:t>
            </w:r>
          </w:p>
        </w:tc>
        <w:tc>
          <w:tcPr>
            <w:tcW w:w="961" w:type="dxa"/>
            <w:tcBorders>
              <w:top w:val="single" w:sz="8" w:space="0" w:color="auto"/>
              <w:left w:val="nil"/>
              <w:bottom w:val="single" w:sz="8" w:space="0" w:color="auto"/>
              <w:right w:val="nil"/>
            </w:tcBorders>
            <w:shd w:val="clear" w:color="auto" w:fill="EBEEF1"/>
            <w:noWrap/>
            <w:tcMar>
              <w:top w:w="0" w:type="dxa"/>
              <w:left w:w="108" w:type="dxa"/>
              <w:bottom w:w="0" w:type="dxa"/>
              <w:right w:w="108" w:type="dxa"/>
            </w:tcMar>
            <w:vAlign w:val="bottom"/>
            <w:hideMark/>
          </w:tcPr>
          <w:p w14:paraId="15767548" w14:textId="77777777" w:rsidR="00F21CDE" w:rsidRDefault="00F21CDE" w:rsidP="005E3A03">
            <w:pPr>
              <w:jc w:val="right"/>
              <w:rPr>
                <w:rFonts w:ascii="Arial" w:hAnsi="Arial" w:cs="Arial"/>
                <w:sz w:val="20"/>
                <w:szCs w:val="20"/>
                <w:lang w:eastAsia="en-GB"/>
              </w:rPr>
            </w:pPr>
            <w:r>
              <w:rPr>
                <w:rFonts w:ascii="Arial" w:hAnsi="Arial" w:cs="Arial"/>
                <w:color w:val="FF0000"/>
                <w:sz w:val="20"/>
                <w:szCs w:val="20"/>
                <w:lang w:eastAsia="en-GB"/>
              </w:rPr>
              <w:t>(10,194)</w:t>
            </w:r>
          </w:p>
        </w:tc>
        <w:tc>
          <w:tcPr>
            <w:tcW w:w="961" w:type="dxa"/>
            <w:tcBorders>
              <w:top w:val="single" w:sz="8" w:space="0" w:color="auto"/>
              <w:left w:val="nil"/>
              <w:bottom w:val="single" w:sz="8" w:space="0" w:color="auto"/>
              <w:right w:val="nil"/>
            </w:tcBorders>
            <w:shd w:val="clear" w:color="auto" w:fill="EBEEF1"/>
            <w:noWrap/>
            <w:tcMar>
              <w:top w:w="0" w:type="dxa"/>
              <w:left w:w="108" w:type="dxa"/>
              <w:bottom w:w="0" w:type="dxa"/>
              <w:right w:w="108" w:type="dxa"/>
            </w:tcMar>
            <w:vAlign w:val="bottom"/>
            <w:hideMark/>
          </w:tcPr>
          <w:p w14:paraId="7C7E0167" w14:textId="77777777" w:rsidR="00F21CDE" w:rsidRDefault="00F21CDE" w:rsidP="005E3A03">
            <w:pPr>
              <w:jc w:val="right"/>
              <w:rPr>
                <w:rFonts w:ascii="Arial" w:hAnsi="Arial" w:cs="Arial"/>
                <w:sz w:val="20"/>
                <w:szCs w:val="20"/>
                <w:lang w:eastAsia="en-GB"/>
              </w:rPr>
            </w:pPr>
            <w:r>
              <w:rPr>
                <w:rFonts w:ascii="Arial" w:hAnsi="Arial" w:cs="Arial"/>
                <w:color w:val="FF0000"/>
                <w:sz w:val="20"/>
                <w:szCs w:val="20"/>
                <w:lang w:eastAsia="en-GB"/>
              </w:rPr>
              <w:t>(14,335)</w:t>
            </w:r>
          </w:p>
        </w:tc>
        <w:tc>
          <w:tcPr>
            <w:tcW w:w="961" w:type="dxa"/>
            <w:tcBorders>
              <w:top w:val="single" w:sz="8" w:space="0" w:color="auto"/>
              <w:left w:val="nil"/>
              <w:bottom w:val="single" w:sz="8" w:space="0" w:color="auto"/>
              <w:right w:val="nil"/>
            </w:tcBorders>
            <w:shd w:val="clear" w:color="auto" w:fill="EBEEF1"/>
            <w:noWrap/>
            <w:tcMar>
              <w:top w:w="0" w:type="dxa"/>
              <w:left w:w="108" w:type="dxa"/>
              <w:bottom w:w="0" w:type="dxa"/>
              <w:right w:w="108" w:type="dxa"/>
            </w:tcMar>
            <w:vAlign w:val="bottom"/>
            <w:hideMark/>
          </w:tcPr>
          <w:p w14:paraId="0908B9BE" w14:textId="77777777" w:rsidR="00F21CDE" w:rsidRDefault="00F21CDE" w:rsidP="005E3A03">
            <w:pPr>
              <w:jc w:val="right"/>
              <w:rPr>
                <w:rFonts w:ascii="Arial" w:hAnsi="Arial" w:cs="Arial"/>
                <w:sz w:val="20"/>
                <w:szCs w:val="20"/>
                <w:lang w:eastAsia="en-GB"/>
              </w:rPr>
            </w:pPr>
            <w:r>
              <w:rPr>
                <w:rFonts w:ascii="Arial" w:hAnsi="Arial" w:cs="Arial"/>
                <w:color w:val="FF0000"/>
                <w:sz w:val="20"/>
                <w:szCs w:val="20"/>
                <w:lang w:eastAsia="en-GB"/>
              </w:rPr>
              <w:t>(18,279)</w:t>
            </w:r>
          </w:p>
        </w:tc>
        <w:tc>
          <w:tcPr>
            <w:tcW w:w="961" w:type="dxa"/>
            <w:tcBorders>
              <w:top w:val="single" w:sz="8" w:space="0" w:color="auto"/>
              <w:left w:val="nil"/>
              <w:bottom w:val="single" w:sz="8" w:space="0" w:color="auto"/>
              <w:right w:val="nil"/>
            </w:tcBorders>
            <w:shd w:val="clear" w:color="auto" w:fill="EBEEF1"/>
            <w:noWrap/>
            <w:tcMar>
              <w:top w:w="0" w:type="dxa"/>
              <w:left w:w="108" w:type="dxa"/>
              <w:bottom w:w="0" w:type="dxa"/>
              <w:right w:w="108" w:type="dxa"/>
            </w:tcMar>
            <w:vAlign w:val="bottom"/>
            <w:hideMark/>
          </w:tcPr>
          <w:p w14:paraId="2ECA621A" w14:textId="77777777" w:rsidR="00F21CDE" w:rsidRDefault="00F21CDE" w:rsidP="005E3A03">
            <w:pPr>
              <w:jc w:val="right"/>
              <w:rPr>
                <w:rFonts w:ascii="Arial" w:hAnsi="Arial" w:cs="Arial"/>
                <w:sz w:val="20"/>
                <w:szCs w:val="20"/>
                <w:lang w:eastAsia="en-GB"/>
              </w:rPr>
            </w:pPr>
            <w:r>
              <w:rPr>
                <w:rFonts w:ascii="Arial" w:hAnsi="Arial" w:cs="Arial"/>
                <w:color w:val="FF0000"/>
                <w:sz w:val="20"/>
                <w:szCs w:val="20"/>
                <w:lang w:eastAsia="en-GB"/>
              </w:rPr>
              <w:t>(22,212)</w:t>
            </w:r>
          </w:p>
        </w:tc>
      </w:tr>
      <w:tr w:rsidR="00F21CDE" w14:paraId="45FD444F" w14:textId="77777777" w:rsidTr="00CB2216">
        <w:trPr>
          <w:trHeight w:val="412"/>
        </w:trPr>
        <w:tc>
          <w:tcPr>
            <w:tcW w:w="5103" w:type="dxa"/>
            <w:noWrap/>
            <w:tcMar>
              <w:top w:w="0" w:type="dxa"/>
              <w:left w:w="108" w:type="dxa"/>
              <w:bottom w:w="0" w:type="dxa"/>
              <w:right w:w="108" w:type="dxa"/>
            </w:tcMar>
            <w:vAlign w:val="bottom"/>
            <w:hideMark/>
          </w:tcPr>
          <w:p w14:paraId="2D69E980" w14:textId="77777777" w:rsidR="00F21CDE" w:rsidRDefault="00F21CDE" w:rsidP="005E3A03">
            <w:pPr>
              <w:rPr>
                <w:rFonts w:ascii="Calibri" w:hAnsi="Calibri" w:cs="Calibri"/>
                <w:color w:val="000000"/>
                <w:lang w:eastAsia="en-GB"/>
              </w:rPr>
            </w:pPr>
            <w:r>
              <w:rPr>
                <w:rFonts w:ascii="Calibri" w:hAnsi="Calibri" w:cs="Calibri"/>
                <w:color w:val="000000"/>
                <w:lang w:eastAsia="en-GB"/>
              </w:rPr>
              <w:t> </w:t>
            </w:r>
          </w:p>
        </w:tc>
        <w:tc>
          <w:tcPr>
            <w:tcW w:w="373" w:type="dxa"/>
            <w:noWrap/>
            <w:tcMar>
              <w:top w:w="0" w:type="dxa"/>
              <w:left w:w="108" w:type="dxa"/>
              <w:bottom w:w="0" w:type="dxa"/>
              <w:right w:w="108" w:type="dxa"/>
            </w:tcMar>
            <w:vAlign w:val="bottom"/>
            <w:hideMark/>
          </w:tcPr>
          <w:p w14:paraId="532FA4B9" w14:textId="77777777" w:rsidR="00F21CDE" w:rsidRDefault="00F21CDE" w:rsidP="005E3A03">
            <w:pPr>
              <w:rPr>
                <w:rFonts w:ascii="Calibri" w:hAnsi="Calibri" w:cs="Calibri"/>
                <w:color w:val="000000"/>
                <w:lang w:eastAsia="en-GB"/>
              </w:rPr>
            </w:pPr>
            <w:r>
              <w:rPr>
                <w:rFonts w:ascii="Calibri" w:hAnsi="Calibri" w:cs="Calibri"/>
                <w:color w:val="000000"/>
                <w:lang w:eastAsia="en-GB"/>
              </w:rPr>
              <w:t> </w:t>
            </w:r>
          </w:p>
        </w:tc>
        <w:tc>
          <w:tcPr>
            <w:tcW w:w="961" w:type="dxa"/>
            <w:tcBorders>
              <w:top w:val="nil"/>
              <w:left w:val="nil"/>
              <w:bottom w:val="single" w:sz="8" w:space="0" w:color="auto"/>
              <w:right w:val="nil"/>
            </w:tcBorders>
            <w:noWrap/>
            <w:tcMar>
              <w:top w:w="0" w:type="dxa"/>
              <w:left w:w="108" w:type="dxa"/>
              <w:bottom w:w="0" w:type="dxa"/>
              <w:right w:w="108" w:type="dxa"/>
            </w:tcMar>
            <w:vAlign w:val="bottom"/>
            <w:hideMark/>
          </w:tcPr>
          <w:p w14:paraId="65CF2326" w14:textId="77777777" w:rsidR="00F21CDE" w:rsidRDefault="00F21CDE" w:rsidP="005E3A03">
            <w:pPr>
              <w:rPr>
                <w:rFonts w:ascii="Arial" w:hAnsi="Arial" w:cs="Arial"/>
                <w:sz w:val="20"/>
                <w:szCs w:val="20"/>
                <w:lang w:eastAsia="en-GB"/>
              </w:rPr>
            </w:pPr>
            <w:r>
              <w:rPr>
                <w:rFonts w:ascii="Arial" w:hAnsi="Arial" w:cs="Arial"/>
                <w:sz w:val="20"/>
                <w:szCs w:val="20"/>
                <w:lang w:eastAsia="en-GB"/>
              </w:rPr>
              <w:t> </w:t>
            </w:r>
          </w:p>
        </w:tc>
        <w:tc>
          <w:tcPr>
            <w:tcW w:w="961" w:type="dxa"/>
            <w:tcBorders>
              <w:top w:val="nil"/>
              <w:left w:val="nil"/>
              <w:bottom w:val="single" w:sz="8" w:space="0" w:color="auto"/>
              <w:right w:val="nil"/>
            </w:tcBorders>
            <w:noWrap/>
            <w:tcMar>
              <w:top w:w="0" w:type="dxa"/>
              <w:left w:w="108" w:type="dxa"/>
              <w:bottom w:w="0" w:type="dxa"/>
              <w:right w:w="108" w:type="dxa"/>
            </w:tcMar>
            <w:vAlign w:val="bottom"/>
            <w:hideMark/>
          </w:tcPr>
          <w:p w14:paraId="56844FC1" w14:textId="77777777" w:rsidR="00F21CDE" w:rsidRDefault="00F21CDE" w:rsidP="005E3A03">
            <w:pPr>
              <w:rPr>
                <w:rFonts w:ascii="Arial" w:hAnsi="Arial" w:cs="Arial"/>
                <w:sz w:val="20"/>
                <w:szCs w:val="20"/>
                <w:lang w:eastAsia="en-GB"/>
              </w:rPr>
            </w:pPr>
            <w:r>
              <w:rPr>
                <w:rFonts w:ascii="Arial" w:hAnsi="Arial" w:cs="Arial"/>
                <w:sz w:val="20"/>
                <w:szCs w:val="20"/>
                <w:lang w:eastAsia="en-GB"/>
              </w:rPr>
              <w:t> </w:t>
            </w:r>
          </w:p>
        </w:tc>
        <w:tc>
          <w:tcPr>
            <w:tcW w:w="961" w:type="dxa"/>
            <w:tcBorders>
              <w:top w:val="nil"/>
              <w:left w:val="nil"/>
              <w:bottom w:val="single" w:sz="8" w:space="0" w:color="auto"/>
              <w:right w:val="nil"/>
            </w:tcBorders>
            <w:noWrap/>
            <w:tcMar>
              <w:top w:w="0" w:type="dxa"/>
              <w:left w:w="108" w:type="dxa"/>
              <w:bottom w:w="0" w:type="dxa"/>
              <w:right w:w="108" w:type="dxa"/>
            </w:tcMar>
            <w:vAlign w:val="bottom"/>
            <w:hideMark/>
          </w:tcPr>
          <w:p w14:paraId="2CF48EFC" w14:textId="77777777" w:rsidR="00F21CDE" w:rsidRDefault="00F21CDE" w:rsidP="005E3A03">
            <w:pPr>
              <w:rPr>
                <w:rFonts w:ascii="Arial" w:hAnsi="Arial" w:cs="Arial"/>
                <w:sz w:val="20"/>
                <w:szCs w:val="20"/>
                <w:lang w:eastAsia="en-GB"/>
              </w:rPr>
            </w:pPr>
            <w:r>
              <w:rPr>
                <w:rFonts w:ascii="Arial" w:hAnsi="Arial" w:cs="Arial"/>
                <w:sz w:val="20"/>
                <w:szCs w:val="20"/>
                <w:lang w:eastAsia="en-GB"/>
              </w:rPr>
              <w:t> </w:t>
            </w:r>
          </w:p>
        </w:tc>
        <w:tc>
          <w:tcPr>
            <w:tcW w:w="961" w:type="dxa"/>
            <w:tcBorders>
              <w:top w:val="nil"/>
              <w:left w:val="nil"/>
              <w:bottom w:val="single" w:sz="8" w:space="0" w:color="auto"/>
              <w:right w:val="nil"/>
            </w:tcBorders>
            <w:noWrap/>
            <w:tcMar>
              <w:top w:w="0" w:type="dxa"/>
              <w:left w:w="108" w:type="dxa"/>
              <w:bottom w:w="0" w:type="dxa"/>
              <w:right w:w="108" w:type="dxa"/>
            </w:tcMar>
            <w:vAlign w:val="bottom"/>
            <w:hideMark/>
          </w:tcPr>
          <w:p w14:paraId="3D1E144B" w14:textId="77777777" w:rsidR="00F21CDE" w:rsidRDefault="00F21CDE" w:rsidP="005E3A03">
            <w:pPr>
              <w:rPr>
                <w:rFonts w:ascii="Arial" w:hAnsi="Arial" w:cs="Arial"/>
                <w:sz w:val="20"/>
                <w:szCs w:val="20"/>
                <w:lang w:eastAsia="en-GB"/>
              </w:rPr>
            </w:pPr>
            <w:r>
              <w:rPr>
                <w:rFonts w:ascii="Arial" w:hAnsi="Arial" w:cs="Arial"/>
                <w:sz w:val="20"/>
                <w:szCs w:val="20"/>
                <w:lang w:eastAsia="en-GB"/>
              </w:rPr>
              <w:t> </w:t>
            </w:r>
          </w:p>
        </w:tc>
      </w:tr>
      <w:tr w:rsidR="00F21CDE" w14:paraId="35371797" w14:textId="77777777" w:rsidTr="00CB2216">
        <w:trPr>
          <w:trHeight w:val="297"/>
        </w:trPr>
        <w:tc>
          <w:tcPr>
            <w:tcW w:w="5103" w:type="dxa"/>
            <w:tcBorders>
              <w:top w:val="single" w:sz="8" w:space="0" w:color="auto"/>
              <w:left w:val="nil"/>
              <w:bottom w:val="nil"/>
              <w:right w:val="nil"/>
            </w:tcBorders>
            <w:shd w:val="clear" w:color="auto" w:fill="EBEEF1"/>
            <w:noWrap/>
            <w:tcMar>
              <w:top w:w="0" w:type="dxa"/>
              <w:left w:w="108" w:type="dxa"/>
              <w:bottom w:w="0" w:type="dxa"/>
              <w:right w:w="108" w:type="dxa"/>
            </w:tcMar>
            <w:vAlign w:val="bottom"/>
            <w:hideMark/>
          </w:tcPr>
          <w:p w14:paraId="203253FB" w14:textId="77777777" w:rsidR="00F21CDE" w:rsidRDefault="00F21CDE" w:rsidP="005E3A03">
            <w:pPr>
              <w:rPr>
                <w:rFonts w:ascii="Calibri" w:hAnsi="Calibri" w:cs="Calibri"/>
                <w:b/>
                <w:bCs/>
                <w:color w:val="000000"/>
                <w:lang w:eastAsia="en-GB"/>
              </w:rPr>
            </w:pPr>
            <w:r>
              <w:rPr>
                <w:rFonts w:ascii="Calibri" w:hAnsi="Calibri" w:cs="Calibri"/>
                <w:b/>
                <w:bCs/>
                <w:color w:val="000000"/>
                <w:lang w:eastAsia="en-GB"/>
              </w:rPr>
              <w:t>MTFF Deficit</w:t>
            </w:r>
          </w:p>
        </w:tc>
        <w:tc>
          <w:tcPr>
            <w:tcW w:w="373" w:type="dxa"/>
            <w:tcBorders>
              <w:top w:val="single" w:sz="8" w:space="0" w:color="auto"/>
              <w:left w:val="nil"/>
              <w:bottom w:val="nil"/>
              <w:right w:val="nil"/>
            </w:tcBorders>
            <w:shd w:val="clear" w:color="auto" w:fill="EBEEF1"/>
            <w:noWrap/>
            <w:tcMar>
              <w:top w:w="0" w:type="dxa"/>
              <w:left w:w="108" w:type="dxa"/>
              <w:bottom w:w="0" w:type="dxa"/>
              <w:right w:w="108" w:type="dxa"/>
            </w:tcMar>
            <w:vAlign w:val="bottom"/>
            <w:hideMark/>
          </w:tcPr>
          <w:p w14:paraId="45CC9063" w14:textId="77777777" w:rsidR="00F21CDE" w:rsidRDefault="00F21CDE" w:rsidP="005E3A03">
            <w:pPr>
              <w:rPr>
                <w:rFonts w:ascii="Calibri" w:hAnsi="Calibri" w:cs="Calibri"/>
                <w:b/>
                <w:bCs/>
                <w:color w:val="000000"/>
                <w:lang w:eastAsia="en-GB"/>
              </w:rPr>
            </w:pPr>
            <w:r>
              <w:rPr>
                <w:rFonts w:ascii="Calibri" w:hAnsi="Calibri" w:cs="Calibri"/>
                <w:b/>
                <w:bCs/>
                <w:color w:val="000000"/>
                <w:lang w:eastAsia="en-GB"/>
              </w:rPr>
              <w:t> </w:t>
            </w:r>
          </w:p>
        </w:tc>
        <w:tc>
          <w:tcPr>
            <w:tcW w:w="961" w:type="dxa"/>
            <w:shd w:val="clear" w:color="auto" w:fill="EBEEF1"/>
            <w:noWrap/>
            <w:tcMar>
              <w:top w:w="0" w:type="dxa"/>
              <w:left w:w="108" w:type="dxa"/>
              <w:bottom w:w="0" w:type="dxa"/>
              <w:right w:w="108" w:type="dxa"/>
            </w:tcMar>
            <w:vAlign w:val="bottom"/>
            <w:hideMark/>
          </w:tcPr>
          <w:p w14:paraId="53CBF563" w14:textId="77777777" w:rsidR="00F21CDE" w:rsidRDefault="00F21CDE" w:rsidP="005E3A03">
            <w:pPr>
              <w:jc w:val="right"/>
              <w:rPr>
                <w:rFonts w:ascii="Calibri" w:hAnsi="Calibri" w:cs="Calibri"/>
                <w:b/>
                <w:bCs/>
                <w:color w:val="000000"/>
                <w:lang w:eastAsia="en-GB"/>
              </w:rPr>
            </w:pPr>
            <w:r>
              <w:rPr>
                <w:rFonts w:ascii="Calibri" w:hAnsi="Calibri" w:cs="Calibri"/>
                <w:b/>
                <w:bCs/>
                <w:color w:val="000000"/>
                <w:lang w:eastAsia="en-GB"/>
              </w:rPr>
              <w:t>0</w:t>
            </w:r>
          </w:p>
        </w:tc>
        <w:tc>
          <w:tcPr>
            <w:tcW w:w="961" w:type="dxa"/>
            <w:shd w:val="clear" w:color="auto" w:fill="EBEEF1"/>
            <w:noWrap/>
            <w:tcMar>
              <w:top w:w="0" w:type="dxa"/>
              <w:left w:w="108" w:type="dxa"/>
              <w:bottom w:w="0" w:type="dxa"/>
              <w:right w:w="108" w:type="dxa"/>
            </w:tcMar>
            <w:vAlign w:val="bottom"/>
            <w:hideMark/>
          </w:tcPr>
          <w:p w14:paraId="5291C57C" w14:textId="77777777" w:rsidR="00F21CDE" w:rsidRDefault="00F21CDE" w:rsidP="005E3A03">
            <w:pPr>
              <w:jc w:val="right"/>
              <w:rPr>
                <w:rFonts w:ascii="Calibri" w:hAnsi="Calibri" w:cs="Calibri"/>
                <w:b/>
                <w:bCs/>
                <w:color w:val="000000"/>
                <w:lang w:eastAsia="en-GB"/>
              </w:rPr>
            </w:pPr>
            <w:r>
              <w:rPr>
                <w:rFonts w:ascii="Calibri" w:hAnsi="Calibri" w:cs="Calibri"/>
                <w:b/>
                <w:bCs/>
                <w:color w:val="000000"/>
                <w:lang w:eastAsia="en-GB"/>
              </w:rPr>
              <w:t>10,796</w:t>
            </w:r>
          </w:p>
        </w:tc>
        <w:tc>
          <w:tcPr>
            <w:tcW w:w="961" w:type="dxa"/>
            <w:shd w:val="clear" w:color="auto" w:fill="EBEEF1"/>
            <w:noWrap/>
            <w:tcMar>
              <w:top w:w="0" w:type="dxa"/>
              <w:left w:w="108" w:type="dxa"/>
              <w:bottom w:w="0" w:type="dxa"/>
              <w:right w:w="108" w:type="dxa"/>
            </w:tcMar>
            <w:vAlign w:val="bottom"/>
            <w:hideMark/>
          </w:tcPr>
          <w:p w14:paraId="3D51FCD0" w14:textId="77777777" w:rsidR="00F21CDE" w:rsidRDefault="00F21CDE" w:rsidP="005E3A03">
            <w:pPr>
              <w:jc w:val="right"/>
              <w:rPr>
                <w:rFonts w:ascii="Calibri" w:hAnsi="Calibri" w:cs="Calibri"/>
                <w:b/>
                <w:bCs/>
                <w:color w:val="000000"/>
                <w:lang w:eastAsia="en-GB"/>
              </w:rPr>
            </w:pPr>
            <w:r>
              <w:rPr>
                <w:rFonts w:ascii="Calibri" w:hAnsi="Calibri" w:cs="Calibri"/>
                <w:b/>
                <w:bCs/>
                <w:color w:val="000000"/>
                <w:lang w:eastAsia="en-GB"/>
              </w:rPr>
              <w:t>15,044</w:t>
            </w:r>
          </w:p>
        </w:tc>
        <w:tc>
          <w:tcPr>
            <w:tcW w:w="961" w:type="dxa"/>
            <w:shd w:val="clear" w:color="auto" w:fill="EBEEF1"/>
            <w:noWrap/>
            <w:tcMar>
              <w:top w:w="0" w:type="dxa"/>
              <w:left w:w="108" w:type="dxa"/>
              <w:bottom w:w="0" w:type="dxa"/>
              <w:right w:w="108" w:type="dxa"/>
            </w:tcMar>
            <w:vAlign w:val="bottom"/>
            <w:hideMark/>
          </w:tcPr>
          <w:p w14:paraId="0D5C9E71" w14:textId="77777777" w:rsidR="00F21CDE" w:rsidRDefault="00F21CDE" w:rsidP="005E3A03">
            <w:pPr>
              <w:jc w:val="right"/>
              <w:rPr>
                <w:rFonts w:ascii="Calibri" w:hAnsi="Calibri" w:cs="Calibri"/>
                <w:b/>
                <w:bCs/>
                <w:color w:val="000000"/>
                <w:lang w:eastAsia="en-GB"/>
              </w:rPr>
            </w:pPr>
            <w:r>
              <w:rPr>
                <w:rFonts w:ascii="Calibri" w:hAnsi="Calibri" w:cs="Calibri"/>
                <w:b/>
                <w:bCs/>
                <w:color w:val="000000"/>
                <w:lang w:eastAsia="en-GB"/>
              </w:rPr>
              <w:t>17,146</w:t>
            </w:r>
          </w:p>
        </w:tc>
      </w:tr>
      <w:tr w:rsidR="00F21CDE" w14:paraId="04E44F2D" w14:textId="77777777" w:rsidTr="00CB2216">
        <w:trPr>
          <w:trHeight w:val="297"/>
        </w:trPr>
        <w:tc>
          <w:tcPr>
            <w:tcW w:w="5103" w:type="dxa"/>
            <w:noWrap/>
            <w:tcMar>
              <w:top w:w="0" w:type="dxa"/>
              <w:left w:w="108" w:type="dxa"/>
              <w:bottom w:w="0" w:type="dxa"/>
              <w:right w:w="108" w:type="dxa"/>
            </w:tcMar>
            <w:vAlign w:val="bottom"/>
            <w:hideMark/>
          </w:tcPr>
          <w:p w14:paraId="1D90BAB9" w14:textId="77777777" w:rsidR="00F21CDE" w:rsidRDefault="00F21CDE" w:rsidP="005E3A03">
            <w:pPr>
              <w:rPr>
                <w:rFonts w:ascii="Calibri" w:hAnsi="Calibri" w:cs="Calibri"/>
                <w:b/>
                <w:bCs/>
                <w:color w:val="000000"/>
                <w:lang w:eastAsia="en-GB"/>
              </w:rPr>
            </w:pPr>
          </w:p>
        </w:tc>
        <w:tc>
          <w:tcPr>
            <w:tcW w:w="373" w:type="dxa"/>
            <w:noWrap/>
            <w:tcMar>
              <w:top w:w="0" w:type="dxa"/>
              <w:left w:w="108" w:type="dxa"/>
              <w:bottom w:w="0" w:type="dxa"/>
              <w:right w:w="108" w:type="dxa"/>
            </w:tcMar>
            <w:vAlign w:val="bottom"/>
            <w:hideMark/>
          </w:tcPr>
          <w:p w14:paraId="54580DE4" w14:textId="77777777" w:rsidR="00F21CDE" w:rsidRDefault="00F21CDE" w:rsidP="005E3A03">
            <w:pPr>
              <w:rPr>
                <w:rFonts w:ascii="Times New Roman" w:eastAsia="Times New Roman" w:hAnsi="Times New Roman" w:cs="Times New Roman"/>
                <w:sz w:val="20"/>
                <w:szCs w:val="20"/>
                <w:lang w:eastAsia="en-GB"/>
              </w:rPr>
            </w:pPr>
          </w:p>
        </w:tc>
        <w:tc>
          <w:tcPr>
            <w:tcW w:w="961" w:type="dxa"/>
            <w:noWrap/>
            <w:tcMar>
              <w:top w:w="0" w:type="dxa"/>
              <w:left w:w="108" w:type="dxa"/>
              <w:bottom w:w="0" w:type="dxa"/>
              <w:right w:w="108" w:type="dxa"/>
            </w:tcMar>
            <w:vAlign w:val="bottom"/>
            <w:hideMark/>
          </w:tcPr>
          <w:p w14:paraId="5119D6FE" w14:textId="77777777" w:rsidR="00F21CDE" w:rsidRDefault="00F21CDE" w:rsidP="005E3A03">
            <w:pPr>
              <w:rPr>
                <w:rFonts w:ascii="Times New Roman" w:eastAsia="Times New Roman" w:hAnsi="Times New Roman" w:cs="Times New Roman"/>
                <w:sz w:val="20"/>
                <w:szCs w:val="20"/>
                <w:lang w:eastAsia="en-GB"/>
              </w:rPr>
            </w:pPr>
          </w:p>
        </w:tc>
        <w:tc>
          <w:tcPr>
            <w:tcW w:w="961" w:type="dxa"/>
            <w:noWrap/>
            <w:tcMar>
              <w:top w:w="0" w:type="dxa"/>
              <w:left w:w="108" w:type="dxa"/>
              <w:bottom w:w="0" w:type="dxa"/>
              <w:right w:w="108" w:type="dxa"/>
            </w:tcMar>
            <w:vAlign w:val="bottom"/>
            <w:hideMark/>
          </w:tcPr>
          <w:p w14:paraId="6759AF14" w14:textId="77777777" w:rsidR="00F21CDE" w:rsidRDefault="00F21CDE" w:rsidP="005E3A03">
            <w:pPr>
              <w:rPr>
                <w:rFonts w:ascii="Times New Roman" w:eastAsia="Times New Roman" w:hAnsi="Times New Roman" w:cs="Times New Roman"/>
                <w:sz w:val="20"/>
                <w:szCs w:val="20"/>
                <w:lang w:eastAsia="en-GB"/>
              </w:rPr>
            </w:pPr>
          </w:p>
        </w:tc>
        <w:tc>
          <w:tcPr>
            <w:tcW w:w="961" w:type="dxa"/>
            <w:noWrap/>
            <w:tcMar>
              <w:top w:w="0" w:type="dxa"/>
              <w:left w:w="108" w:type="dxa"/>
              <w:bottom w:w="0" w:type="dxa"/>
              <w:right w:w="108" w:type="dxa"/>
            </w:tcMar>
            <w:vAlign w:val="bottom"/>
            <w:hideMark/>
          </w:tcPr>
          <w:p w14:paraId="769E862D" w14:textId="77777777" w:rsidR="00F21CDE" w:rsidRDefault="00F21CDE" w:rsidP="005E3A03">
            <w:pPr>
              <w:rPr>
                <w:rFonts w:ascii="Times New Roman" w:eastAsia="Times New Roman" w:hAnsi="Times New Roman" w:cs="Times New Roman"/>
                <w:sz w:val="20"/>
                <w:szCs w:val="20"/>
                <w:lang w:eastAsia="en-GB"/>
              </w:rPr>
            </w:pPr>
          </w:p>
        </w:tc>
        <w:tc>
          <w:tcPr>
            <w:tcW w:w="961" w:type="dxa"/>
            <w:noWrap/>
            <w:tcMar>
              <w:top w:w="0" w:type="dxa"/>
              <w:left w:w="108" w:type="dxa"/>
              <w:bottom w:w="0" w:type="dxa"/>
              <w:right w:w="108" w:type="dxa"/>
            </w:tcMar>
            <w:vAlign w:val="bottom"/>
            <w:hideMark/>
          </w:tcPr>
          <w:p w14:paraId="3A8E6C7A" w14:textId="77777777" w:rsidR="00F21CDE" w:rsidRDefault="00F21CDE" w:rsidP="005E3A03">
            <w:pPr>
              <w:rPr>
                <w:rFonts w:ascii="Times New Roman" w:eastAsia="Times New Roman" w:hAnsi="Times New Roman" w:cs="Times New Roman"/>
                <w:sz w:val="20"/>
                <w:szCs w:val="20"/>
                <w:lang w:eastAsia="en-GB"/>
              </w:rPr>
            </w:pPr>
          </w:p>
        </w:tc>
      </w:tr>
      <w:tr w:rsidR="00F21CDE" w14:paraId="21B86B5C" w14:textId="77777777" w:rsidTr="00CB2216">
        <w:trPr>
          <w:trHeight w:val="297"/>
        </w:trPr>
        <w:tc>
          <w:tcPr>
            <w:tcW w:w="5476" w:type="dxa"/>
            <w:gridSpan w:val="2"/>
            <w:noWrap/>
            <w:tcMar>
              <w:top w:w="0" w:type="dxa"/>
              <w:left w:w="108" w:type="dxa"/>
              <w:bottom w:w="0" w:type="dxa"/>
              <w:right w:w="108" w:type="dxa"/>
            </w:tcMar>
            <w:vAlign w:val="bottom"/>
            <w:hideMark/>
          </w:tcPr>
          <w:p w14:paraId="45BE366E" w14:textId="77777777" w:rsidR="00F21CDE" w:rsidRDefault="00F21CDE" w:rsidP="005E3A03">
            <w:pPr>
              <w:rPr>
                <w:rFonts w:ascii="Calibri" w:hAnsi="Calibri" w:cs="Calibri"/>
                <w:color w:val="000000"/>
                <w:lang w:eastAsia="en-GB"/>
              </w:rPr>
            </w:pPr>
            <w:r>
              <w:rPr>
                <w:rFonts w:ascii="Calibri" w:hAnsi="Calibri" w:cs="Calibri"/>
                <w:color w:val="000000"/>
                <w:lang w:eastAsia="en-GB"/>
              </w:rPr>
              <w:t>Further Forecast PBB Productivity and Service Level Savings up to March 27</w:t>
            </w:r>
          </w:p>
        </w:tc>
        <w:tc>
          <w:tcPr>
            <w:tcW w:w="961" w:type="dxa"/>
            <w:noWrap/>
            <w:tcMar>
              <w:top w:w="0" w:type="dxa"/>
              <w:left w:w="108" w:type="dxa"/>
              <w:bottom w:w="0" w:type="dxa"/>
              <w:right w:w="108" w:type="dxa"/>
            </w:tcMar>
            <w:vAlign w:val="bottom"/>
            <w:hideMark/>
          </w:tcPr>
          <w:p w14:paraId="2D3B05EF" w14:textId="77777777" w:rsidR="00F21CDE" w:rsidRDefault="00F21CDE" w:rsidP="005E3A03">
            <w:pPr>
              <w:rPr>
                <w:rFonts w:ascii="Calibri" w:hAnsi="Calibri" w:cs="Calibri"/>
                <w:color w:val="000000"/>
                <w:lang w:eastAsia="en-GB"/>
              </w:rPr>
            </w:pPr>
          </w:p>
        </w:tc>
        <w:tc>
          <w:tcPr>
            <w:tcW w:w="961" w:type="dxa"/>
            <w:noWrap/>
            <w:tcMar>
              <w:top w:w="0" w:type="dxa"/>
              <w:left w:w="108" w:type="dxa"/>
              <w:bottom w:w="0" w:type="dxa"/>
              <w:right w:w="108" w:type="dxa"/>
            </w:tcMar>
            <w:vAlign w:val="bottom"/>
            <w:hideMark/>
          </w:tcPr>
          <w:p w14:paraId="4C5F71D9" w14:textId="77777777" w:rsidR="00F21CDE" w:rsidRDefault="00F21CDE" w:rsidP="005E3A03">
            <w:pPr>
              <w:jc w:val="right"/>
              <w:rPr>
                <w:rFonts w:ascii="Arial" w:hAnsi="Arial" w:cs="Arial"/>
                <w:sz w:val="20"/>
                <w:szCs w:val="20"/>
                <w:lang w:eastAsia="en-GB"/>
              </w:rPr>
            </w:pPr>
            <w:r>
              <w:rPr>
                <w:rFonts w:ascii="Arial" w:hAnsi="Arial" w:cs="Arial"/>
                <w:color w:val="FF0000"/>
                <w:sz w:val="20"/>
                <w:szCs w:val="20"/>
                <w:lang w:eastAsia="en-GB"/>
              </w:rPr>
              <w:t>(892)</w:t>
            </w:r>
          </w:p>
        </w:tc>
        <w:tc>
          <w:tcPr>
            <w:tcW w:w="961" w:type="dxa"/>
            <w:noWrap/>
            <w:tcMar>
              <w:top w:w="0" w:type="dxa"/>
              <w:left w:w="108" w:type="dxa"/>
              <w:bottom w:w="0" w:type="dxa"/>
              <w:right w:w="108" w:type="dxa"/>
            </w:tcMar>
            <w:vAlign w:val="bottom"/>
            <w:hideMark/>
          </w:tcPr>
          <w:p w14:paraId="049F6B60" w14:textId="77777777" w:rsidR="00F21CDE" w:rsidRDefault="00F21CDE" w:rsidP="005E3A03">
            <w:pPr>
              <w:jc w:val="right"/>
              <w:rPr>
                <w:rFonts w:ascii="Arial" w:hAnsi="Arial" w:cs="Arial"/>
                <w:sz w:val="20"/>
                <w:szCs w:val="20"/>
                <w:lang w:eastAsia="en-GB"/>
              </w:rPr>
            </w:pPr>
            <w:r>
              <w:rPr>
                <w:rFonts w:ascii="Arial" w:hAnsi="Arial" w:cs="Arial"/>
                <w:color w:val="FF0000"/>
                <w:sz w:val="20"/>
                <w:szCs w:val="20"/>
                <w:lang w:eastAsia="en-GB"/>
              </w:rPr>
              <w:t>(4,097)</w:t>
            </w:r>
          </w:p>
        </w:tc>
        <w:tc>
          <w:tcPr>
            <w:tcW w:w="961" w:type="dxa"/>
            <w:noWrap/>
            <w:tcMar>
              <w:top w:w="0" w:type="dxa"/>
              <w:left w:w="108" w:type="dxa"/>
              <w:bottom w:w="0" w:type="dxa"/>
              <w:right w:w="108" w:type="dxa"/>
            </w:tcMar>
            <w:vAlign w:val="bottom"/>
            <w:hideMark/>
          </w:tcPr>
          <w:p w14:paraId="72E6F7AC" w14:textId="77777777" w:rsidR="00F21CDE" w:rsidRDefault="00F21CDE" w:rsidP="005E3A03">
            <w:pPr>
              <w:jc w:val="right"/>
              <w:rPr>
                <w:rFonts w:ascii="Arial" w:hAnsi="Arial" w:cs="Arial"/>
                <w:sz w:val="20"/>
                <w:szCs w:val="20"/>
                <w:lang w:eastAsia="en-GB"/>
              </w:rPr>
            </w:pPr>
            <w:r>
              <w:rPr>
                <w:rFonts w:ascii="Arial" w:hAnsi="Arial" w:cs="Arial"/>
                <w:color w:val="FF0000"/>
                <w:sz w:val="20"/>
                <w:szCs w:val="20"/>
                <w:lang w:eastAsia="en-GB"/>
              </w:rPr>
              <w:t>(4,862)</w:t>
            </w:r>
          </w:p>
        </w:tc>
      </w:tr>
      <w:tr w:rsidR="00F21CDE" w14:paraId="30ED95EA" w14:textId="77777777" w:rsidTr="00260D1C">
        <w:trPr>
          <w:trHeight w:val="74"/>
        </w:trPr>
        <w:tc>
          <w:tcPr>
            <w:tcW w:w="5103" w:type="dxa"/>
            <w:noWrap/>
            <w:tcMar>
              <w:top w:w="0" w:type="dxa"/>
              <w:left w:w="108" w:type="dxa"/>
              <w:bottom w:w="0" w:type="dxa"/>
              <w:right w:w="108" w:type="dxa"/>
            </w:tcMar>
            <w:vAlign w:val="bottom"/>
            <w:hideMark/>
          </w:tcPr>
          <w:p w14:paraId="3AFB7539" w14:textId="77777777" w:rsidR="00F21CDE" w:rsidRDefault="00F21CDE" w:rsidP="005E3A03">
            <w:pPr>
              <w:rPr>
                <w:rFonts w:ascii="Arial" w:hAnsi="Arial" w:cs="Arial"/>
                <w:sz w:val="20"/>
                <w:szCs w:val="20"/>
                <w:lang w:eastAsia="en-GB"/>
              </w:rPr>
            </w:pPr>
          </w:p>
        </w:tc>
        <w:tc>
          <w:tcPr>
            <w:tcW w:w="373" w:type="dxa"/>
            <w:noWrap/>
            <w:tcMar>
              <w:top w:w="0" w:type="dxa"/>
              <w:left w:w="108" w:type="dxa"/>
              <w:bottom w:w="0" w:type="dxa"/>
              <w:right w:w="108" w:type="dxa"/>
            </w:tcMar>
            <w:vAlign w:val="bottom"/>
            <w:hideMark/>
          </w:tcPr>
          <w:p w14:paraId="5BCCEC83" w14:textId="77777777" w:rsidR="00F21CDE" w:rsidRDefault="00F21CDE" w:rsidP="005E3A03">
            <w:pPr>
              <w:rPr>
                <w:rFonts w:ascii="Times New Roman" w:eastAsia="Times New Roman" w:hAnsi="Times New Roman" w:cs="Times New Roman"/>
                <w:sz w:val="20"/>
                <w:szCs w:val="20"/>
                <w:lang w:eastAsia="en-GB"/>
              </w:rPr>
            </w:pPr>
          </w:p>
        </w:tc>
        <w:tc>
          <w:tcPr>
            <w:tcW w:w="961" w:type="dxa"/>
            <w:noWrap/>
            <w:tcMar>
              <w:top w:w="0" w:type="dxa"/>
              <w:left w:w="108" w:type="dxa"/>
              <w:bottom w:w="0" w:type="dxa"/>
              <w:right w:w="108" w:type="dxa"/>
            </w:tcMar>
            <w:vAlign w:val="bottom"/>
            <w:hideMark/>
          </w:tcPr>
          <w:p w14:paraId="5F9A5181" w14:textId="77777777" w:rsidR="00F21CDE" w:rsidRDefault="00F21CDE" w:rsidP="005E3A03">
            <w:pPr>
              <w:rPr>
                <w:rFonts w:ascii="Times New Roman" w:eastAsia="Times New Roman" w:hAnsi="Times New Roman" w:cs="Times New Roman"/>
                <w:sz w:val="20"/>
                <w:szCs w:val="20"/>
                <w:lang w:eastAsia="en-GB"/>
              </w:rPr>
            </w:pPr>
          </w:p>
        </w:tc>
        <w:tc>
          <w:tcPr>
            <w:tcW w:w="961" w:type="dxa"/>
            <w:noWrap/>
            <w:tcMar>
              <w:top w:w="0" w:type="dxa"/>
              <w:left w:w="108" w:type="dxa"/>
              <w:bottom w:w="0" w:type="dxa"/>
              <w:right w:w="108" w:type="dxa"/>
            </w:tcMar>
            <w:vAlign w:val="bottom"/>
            <w:hideMark/>
          </w:tcPr>
          <w:p w14:paraId="3E359BA1" w14:textId="77777777" w:rsidR="00F21CDE" w:rsidRDefault="00F21CDE" w:rsidP="005E3A03">
            <w:pPr>
              <w:rPr>
                <w:rFonts w:ascii="Times New Roman" w:eastAsia="Times New Roman" w:hAnsi="Times New Roman" w:cs="Times New Roman"/>
                <w:sz w:val="20"/>
                <w:szCs w:val="20"/>
                <w:lang w:eastAsia="en-GB"/>
              </w:rPr>
            </w:pPr>
          </w:p>
        </w:tc>
        <w:tc>
          <w:tcPr>
            <w:tcW w:w="961" w:type="dxa"/>
            <w:noWrap/>
            <w:tcMar>
              <w:top w:w="0" w:type="dxa"/>
              <w:left w:w="108" w:type="dxa"/>
              <w:bottom w:w="0" w:type="dxa"/>
              <w:right w:w="108" w:type="dxa"/>
            </w:tcMar>
            <w:vAlign w:val="bottom"/>
            <w:hideMark/>
          </w:tcPr>
          <w:p w14:paraId="29A03A32" w14:textId="77777777" w:rsidR="00F21CDE" w:rsidRDefault="00F21CDE" w:rsidP="005E3A03">
            <w:pPr>
              <w:rPr>
                <w:rFonts w:ascii="Times New Roman" w:eastAsia="Times New Roman" w:hAnsi="Times New Roman" w:cs="Times New Roman"/>
                <w:sz w:val="20"/>
                <w:szCs w:val="20"/>
                <w:lang w:eastAsia="en-GB"/>
              </w:rPr>
            </w:pPr>
          </w:p>
        </w:tc>
        <w:tc>
          <w:tcPr>
            <w:tcW w:w="961" w:type="dxa"/>
            <w:noWrap/>
            <w:tcMar>
              <w:top w:w="0" w:type="dxa"/>
              <w:left w:w="108" w:type="dxa"/>
              <w:bottom w:w="0" w:type="dxa"/>
              <w:right w:w="108" w:type="dxa"/>
            </w:tcMar>
            <w:vAlign w:val="bottom"/>
            <w:hideMark/>
          </w:tcPr>
          <w:p w14:paraId="02E54751" w14:textId="77777777" w:rsidR="00F21CDE" w:rsidRDefault="00F21CDE" w:rsidP="005E3A03">
            <w:pPr>
              <w:rPr>
                <w:rFonts w:ascii="Times New Roman" w:eastAsia="Times New Roman" w:hAnsi="Times New Roman" w:cs="Times New Roman"/>
                <w:sz w:val="20"/>
                <w:szCs w:val="20"/>
                <w:lang w:eastAsia="en-GB"/>
              </w:rPr>
            </w:pPr>
          </w:p>
        </w:tc>
      </w:tr>
      <w:tr w:rsidR="00F21CDE" w14:paraId="0DBAE6F0" w14:textId="77777777" w:rsidTr="00CB2216">
        <w:trPr>
          <w:trHeight w:val="305"/>
        </w:trPr>
        <w:tc>
          <w:tcPr>
            <w:tcW w:w="5103" w:type="dxa"/>
            <w:tcBorders>
              <w:top w:val="single" w:sz="8" w:space="0" w:color="auto"/>
              <w:left w:val="nil"/>
              <w:bottom w:val="double" w:sz="6" w:space="0" w:color="auto"/>
              <w:right w:val="nil"/>
            </w:tcBorders>
            <w:shd w:val="clear" w:color="auto" w:fill="EBEEF1"/>
            <w:noWrap/>
            <w:tcMar>
              <w:top w:w="0" w:type="dxa"/>
              <w:left w:w="108" w:type="dxa"/>
              <w:bottom w:w="0" w:type="dxa"/>
              <w:right w:w="108" w:type="dxa"/>
            </w:tcMar>
            <w:vAlign w:val="bottom"/>
            <w:hideMark/>
          </w:tcPr>
          <w:p w14:paraId="259D0149" w14:textId="77777777" w:rsidR="00F21CDE" w:rsidRDefault="00F21CDE" w:rsidP="005E3A03">
            <w:pPr>
              <w:rPr>
                <w:rFonts w:ascii="Calibri" w:hAnsi="Calibri" w:cs="Calibri"/>
                <w:b/>
                <w:bCs/>
                <w:color w:val="000000"/>
                <w:lang w:eastAsia="en-GB"/>
              </w:rPr>
            </w:pPr>
            <w:r>
              <w:rPr>
                <w:rFonts w:ascii="Calibri" w:hAnsi="Calibri" w:cs="Calibri"/>
                <w:b/>
                <w:bCs/>
                <w:color w:val="000000"/>
                <w:lang w:eastAsia="en-GB"/>
              </w:rPr>
              <w:t>Revised MTFF Deficit</w:t>
            </w:r>
          </w:p>
        </w:tc>
        <w:tc>
          <w:tcPr>
            <w:tcW w:w="373" w:type="dxa"/>
            <w:tcBorders>
              <w:top w:val="single" w:sz="8" w:space="0" w:color="auto"/>
              <w:left w:val="nil"/>
              <w:bottom w:val="double" w:sz="6" w:space="0" w:color="auto"/>
              <w:right w:val="nil"/>
            </w:tcBorders>
            <w:shd w:val="clear" w:color="auto" w:fill="EBEEF1"/>
            <w:noWrap/>
            <w:tcMar>
              <w:top w:w="0" w:type="dxa"/>
              <w:left w:w="108" w:type="dxa"/>
              <w:bottom w:w="0" w:type="dxa"/>
              <w:right w:w="108" w:type="dxa"/>
            </w:tcMar>
            <w:vAlign w:val="bottom"/>
            <w:hideMark/>
          </w:tcPr>
          <w:p w14:paraId="13471EBF" w14:textId="77777777" w:rsidR="00F21CDE" w:rsidRDefault="00F21CDE" w:rsidP="005E3A03">
            <w:pPr>
              <w:rPr>
                <w:rFonts w:ascii="Calibri" w:hAnsi="Calibri" w:cs="Calibri"/>
                <w:b/>
                <w:bCs/>
                <w:color w:val="000000"/>
                <w:lang w:eastAsia="en-GB"/>
              </w:rPr>
            </w:pPr>
            <w:r>
              <w:rPr>
                <w:rFonts w:ascii="Calibri" w:hAnsi="Calibri" w:cs="Calibri"/>
                <w:b/>
                <w:bCs/>
                <w:color w:val="000000"/>
                <w:lang w:eastAsia="en-GB"/>
              </w:rPr>
              <w:t> </w:t>
            </w:r>
          </w:p>
        </w:tc>
        <w:tc>
          <w:tcPr>
            <w:tcW w:w="961" w:type="dxa"/>
            <w:tcBorders>
              <w:top w:val="single" w:sz="8" w:space="0" w:color="auto"/>
              <w:left w:val="nil"/>
              <w:bottom w:val="double" w:sz="6" w:space="0" w:color="auto"/>
              <w:right w:val="nil"/>
            </w:tcBorders>
            <w:shd w:val="clear" w:color="auto" w:fill="EBEEF1"/>
            <w:noWrap/>
            <w:tcMar>
              <w:top w:w="0" w:type="dxa"/>
              <w:left w:w="108" w:type="dxa"/>
              <w:bottom w:w="0" w:type="dxa"/>
              <w:right w:w="108" w:type="dxa"/>
            </w:tcMar>
            <w:vAlign w:val="bottom"/>
            <w:hideMark/>
          </w:tcPr>
          <w:p w14:paraId="2A7334F8" w14:textId="77777777" w:rsidR="00F21CDE" w:rsidRDefault="00F21CDE" w:rsidP="005E3A03">
            <w:pPr>
              <w:jc w:val="right"/>
              <w:rPr>
                <w:rFonts w:ascii="Calibri" w:hAnsi="Calibri" w:cs="Calibri"/>
                <w:b/>
                <w:bCs/>
                <w:color w:val="000000"/>
                <w:lang w:eastAsia="en-GB"/>
              </w:rPr>
            </w:pPr>
            <w:r>
              <w:rPr>
                <w:rFonts w:ascii="Calibri" w:hAnsi="Calibri" w:cs="Calibri"/>
                <w:b/>
                <w:bCs/>
                <w:color w:val="000000"/>
                <w:lang w:eastAsia="en-GB"/>
              </w:rPr>
              <w:t>0</w:t>
            </w:r>
          </w:p>
        </w:tc>
        <w:tc>
          <w:tcPr>
            <w:tcW w:w="961" w:type="dxa"/>
            <w:tcBorders>
              <w:top w:val="single" w:sz="8" w:space="0" w:color="auto"/>
              <w:left w:val="nil"/>
              <w:bottom w:val="double" w:sz="6" w:space="0" w:color="auto"/>
              <w:right w:val="nil"/>
            </w:tcBorders>
            <w:shd w:val="clear" w:color="auto" w:fill="EBEEF1"/>
            <w:noWrap/>
            <w:tcMar>
              <w:top w:w="0" w:type="dxa"/>
              <w:left w:w="108" w:type="dxa"/>
              <w:bottom w:w="0" w:type="dxa"/>
              <w:right w:w="108" w:type="dxa"/>
            </w:tcMar>
            <w:vAlign w:val="bottom"/>
            <w:hideMark/>
          </w:tcPr>
          <w:p w14:paraId="20C3CEAF" w14:textId="77777777" w:rsidR="00F21CDE" w:rsidRDefault="00F21CDE" w:rsidP="005E3A03">
            <w:pPr>
              <w:jc w:val="right"/>
              <w:rPr>
                <w:rFonts w:ascii="Calibri" w:hAnsi="Calibri" w:cs="Calibri"/>
                <w:b/>
                <w:bCs/>
                <w:color w:val="000000"/>
                <w:lang w:eastAsia="en-GB"/>
              </w:rPr>
            </w:pPr>
            <w:r>
              <w:rPr>
                <w:rFonts w:ascii="Calibri" w:hAnsi="Calibri" w:cs="Calibri"/>
                <w:b/>
                <w:bCs/>
                <w:color w:val="000000"/>
                <w:lang w:eastAsia="en-GB"/>
              </w:rPr>
              <w:t>9,904</w:t>
            </w:r>
          </w:p>
        </w:tc>
        <w:tc>
          <w:tcPr>
            <w:tcW w:w="961" w:type="dxa"/>
            <w:tcBorders>
              <w:top w:val="single" w:sz="8" w:space="0" w:color="auto"/>
              <w:left w:val="nil"/>
              <w:bottom w:val="double" w:sz="6" w:space="0" w:color="auto"/>
              <w:right w:val="nil"/>
            </w:tcBorders>
            <w:shd w:val="clear" w:color="auto" w:fill="EBEEF1"/>
            <w:noWrap/>
            <w:tcMar>
              <w:top w:w="0" w:type="dxa"/>
              <w:left w:w="108" w:type="dxa"/>
              <w:bottom w:w="0" w:type="dxa"/>
              <w:right w:w="108" w:type="dxa"/>
            </w:tcMar>
            <w:vAlign w:val="bottom"/>
            <w:hideMark/>
          </w:tcPr>
          <w:p w14:paraId="12DCD915" w14:textId="77777777" w:rsidR="00F21CDE" w:rsidRDefault="00F21CDE" w:rsidP="005E3A03">
            <w:pPr>
              <w:jc w:val="right"/>
              <w:rPr>
                <w:rFonts w:ascii="Calibri" w:hAnsi="Calibri" w:cs="Calibri"/>
                <w:b/>
                <w:bCs/>
                <w:color w:val="000000"/>
                <w:lang w:eastAsia="en-GB"/>
              </w:rPr>
            </w:pPr>
            <w:r>
              <w:rPr>
                <w:rFonts w:ascii="Calibri" w:hAnsi="Calibri" w:cs="Calibri"/>
                <w:b/>
                <w:bCs/>
                <w:color w:val="000000"/>
                <w:lang w:eastAsia="en-GB"/>
              </w:rPr>
              <w:t>10,947</w:t>
            </w:r>
          </w:p>
        </w:tc>
        <w:tc>
          <w:tcPr>
            <w:tcW w:w="961" w:type="dxa"/>
            <w:tcBorders>
              <w:top w:val="single" w:sz="8" w:space="0" w:color="auto"/>
              <w:left w:val="nil"/>
              <w:bottom w:val="double" w:sz="6" w:space="0" w:color="auto"/>
              <w:right w:val="nil"/>
            </w:tcBorders>
            <w:shd w:val="clear" w:color="auto" w:fill="EBEEF1"/>
            <w:noWrap/>
            <w:tcMar>
              <w:top w:w="0" w:type="dxa"/>
              <w:left w:w="108" w:type="dxa"/>
              <w:bottom w:w="0" w:type="dxa"/>
              <w:right w:w="108" w:type="dxa"/>
            </w:tcMar>
            <w:vAlign w:val="bottom"/>
            <w:hideMark/>
          </w:tcPr>
          <w:p w14:paraId="3D80B560" w14:textId="77777777" w:rsidR="00F21CDE" w:rsidRDefault="00F21CDE" w:rsidP="005E3A03">
            <w:pPr>
              <w:jc w:val="right"/>
              <w:rPr>
                <w:rFonts w:ascii="Calibri" w:hAnsi="Calibri" w:cs="Calibri"/>
                <w:b/>
                <w:bCs/>
                <w:color w:val="000000"/>
                <w:lang w:eastAsia="en-GB"/>
              </w:rPr>
            </w:pPr>
            <w:r>
              <w:rPr>
                <w:rFonts w:ascii="Calibri" w:hAnsi="Calibri" w:cs="Calibri"/>
                <w:b/>
                <w:bCs/>
                <w:color w:val="000000"/>
                <w:lang w:eastAsia="en-GB"/>
              </w:rPr>
              <w:t>12,283</w:t>
            </w:r>
          </w:p>
        </w:tc>
      </w:tr>
    </w:tbl>
    <w:p w14:paraId="01D59C55" w14:textId="77777777" w:rsidR="000768BA" w:rsidRDefault="000768BA" w:rsidP="000768BA">
      <w:pPr>
        <w:spacing w:after="0" w:line="240" w:lineRule="auto"/>
        <w:ind w:left="720"/>
        <w:rPr>
          <w:rFonts w:ascii="Arial" w:hAnsi="Arial" w:cs="Arial"/>
          <w:sz w:val="24"/>
          <w:szCs w:val="24"/>
        </w:rPr>
      </w:pPr>
    </w:p>
    <w:p w14:paraId="76CB5FFF" w14:textId="1C9456E0" w:rsidR="000768BA" w:rsidRPr="000768BA" w:rsidRDefault="000768BA" w:rsidP="000768BA">
      <w:pPr>
        <w:spacing w:after="0" w:line="240" w:lineRule="auto"/>
        <w:ind w:left="720"/>
        <w:rPr>
          <w:rFonts w:ascii="Arial" w:hAnsi="Arial" w:cs="Arial"/>
          <w:sz w:val="24"/>
          <w:szCs w:val="24"/>
        </w:rPr>
      </w:pPr>
      <w:r w:rsidRPr="000768BA">
        <w:rPr>
          <w:rFonts w:ascii="Arial" w:hAnsi="Arial" w:cs="Arial"/>
          <w:sz w:val="24"/>
          <w:szCs w:val="24"/>
        </w:rPr>
        <w:t>There are two financial years of the programme still to run, in addition to the remainder of 2025/26. This elongated timeframe is a consequence of the Home Office officer cap which means that any officer savings will have to take place through the movement of officers into what we have termed “Grey Roles”. While we continually raise this as a matter that needs addressing nationally, in the meantime we try to mitigate the impact of this by focusing on roles that are much more aligned to that of a Police Officer such as Detention Officers.</w:t>
      </w:r>
    </w:p>
    <w:p w14:paraId="732EAAED" w14:textId="77777777" w:rsidR="000768BA" w:rsidRPr="000768BA" w:rsidRDefault="000768BA" w:rsidP="000768BA">
      <w:pPr>
        <w:spacing w:after="0" w:line="240" w:lineRule="auto"/>
        <w:ind w:left="720"/>
        <w:rPr>
          <w:rFonts w:ascii="Arial" w:hAnsi="Arial" w:cs="Arial"/>
          <w:sz w:val="24"/>
          <w:szCs w:val="24"/>
        </w:rPr>
      </w:pPr>
    </w:p>
    <w:p w14:paraId="60603883" w14:textId="77777777" w:rsidR="000768BA" w:rsidRPr="000768BA" w:rsidRDefault="000768BA" w:rsidP="000768BA">
      <w:pPr>
        <w:spacing w:after="0" w:line="240" w:lineRule="auto"/>
        <w:ind w:left="720"/>
        <w:rPr>
          <w:rFonts w:ascii="Arial" w:hAnsi="Arial" w:cs="Arial"/>
          <w:sz w:val="24"/>
          <w:szCs w:val="24"/>
        </w:rPr>
      </w:pPr>
      <w:r w:rsidRPr="000768BA">
        <w:rPr>
          <w:rFonts w:ascii="Arial" w:hAnsi="Arial" w:cs="Arial"/>
          <w:sz w:val="24"/>
          <w:szCs w:val="24"/>
        </w:rPr>
        <w:t>You can see from the table above that the impact of PBB on the MTFF has been significant and will continue to be for the foreseeable future. While budget reductions are rarely popular, the programme has successfully looked at making productivity savings first and shows a very clear link between the Force Management Statement and reallocation of resources.</w:t>
      </w:r>
    </w:p>
    <w:p w14:paraId="6664E183" w14:textId="77777777" w:rsidR="000768BA" w:rsidRPr="000768BA" w:rsidRDefault="000768BA" w:rsidP="000768BA">
      <w:pPr>
        <w:spacing w:after="0" w:line="240" w:lineRule="auto"/>
        <w:ind w:left="720"/>
        <w:rPr>
          <w:rFonts w:ascii="Arial" w:hAnsi="Arial" w:cs="Arial"/>
          <w:sz w:val="24"/>
          <w:szCs w:val="24"/>
        </w:rPr>
      </w:pPr>
    </w:p>
    <w:p w14:paraId="35C18A47" w14:textId="472C5C52" w:rsidR="000768BA" w:rsidRDefault="000768BA" w:rsidP="000768BA">
      <w:pPr>
        <w:spacing w:after="0" w:line="240" w:lineRule="auto"/>
        <w:ind w:left="720"/>
        <w:rPr>
          <w:rFonts w:ascii="Arial" w:hAnsi="Arial" w:cs="Arial"/>
          <w:sz w:val="24"/>
          <w:szCs w:val="24"/>
        </w:rPr>
      </w:pPr>
      <w:r w:rsidRPr="000768BA">
        <w:rPr>
          <w:rFonts w:ascii="Arial" w:hAnsi="Arial" w:cs="Arial"/>
          <w:sz w:val="24"/>
          <w:szCs w:val="24"/>
        </w:rPr>
        <w:t xml:space="preserve">The first half of the table shows those reductions that have already been factored into the </w:t>
      </w:r>
      <w:proofErr w:type="gramStart"/>
      <w:r w:rsidRPr="000768BA">
        <w:rPr>
          <w:rFonts w:ascii="Arial" w:hAnsi="Arial" w:cs="Arial"/>
          <w:sz w:val="24"/>
          <w:szCs w:val="24"/>
        </w:rPr>
        <w:t>MTFF</w:t>
      </w:r>
      <w:proofErr w:type="gramEnd"/>
      <w:r w:rsidRPr="000768BA">
        <w:rPr>
          <w:rFonts w:ascii="Arial" w:hAnsi="Arial" w:cs="Arial"/>
          <w:sz w:val="24"/>
          <w:szCs w:val="24"/>
        </w:rPr>
        <w:t xml:space="preserve"> and the final rows show the current forecast for those savings that are planned to deliver in 2026/27. We will continue to work through the assumptions and forecast progress over the coming months with the intention of increasing that figure further prior to budget setting.</w:t>
      </w:r>
    </w:p>
    <w:p w14:paraId="499C9AF7" w14:textId="77777777" w:rsidR="00860594" w:rsidRDefault="00860594" w:rsidP="000768BA">
      <w:pPr>
        <w:spacing w:after="0" w:line="240" w:lineRule="auto"/>
        <w:ind w:left="720"/>
        <w:rPr>
          <w:rFonts w:ascii="Arial" w:hAnsi="Arial" w:cs="Arial"/>
          <w:sz w:val="24"/>
          <w:szCs w:val="24"/>
        </w:rPr>
      </w:pPr>
    </w:p>
    <w:p w14:paraId="3F40C2EA" w14:textId="2F8E04C9" w:rsidR="00751DD5" w:rsidRDefault="00751DD5" w:rsidP="000768BA">
      <w:pPr>
        <w:spacing w:after="0" w:line="240" w:lineRule="auto"/>
        <w:ind w:left="720"/>
        <w:rPr>
          <w:rFonts w:ascii="Arial" w:hAnsi="Arial" w:cs="Arial"/>
          <w:sz w:val="24"/>
          <w:szCs w:val="24"/>
        </w:rPr>
      </w:pPr>
      <w:r w:rsidRPr="00E916DF">
        <w:rPr>
          <w:rFonts w:ascii="Arial" w:hAnsi="Arial" w:cs="Arial"/>
          <w:b/>
          <w:sz w:val="24"/>
          <w:szCs w:val="24"/>
        </w:rPr>
        <w:lastRenderedPageBreak/>
        <w:t>Appendix C</w:t>
      </w:r>
      <w:r>
        <w:rPr>
          <w:rFonts w:ascii="Arial" w:hAnsi="Arial" w:cs="Arial"/>
          <w:sz w:val="24"/>
          <w:szCs w:val="24"/>
        </w:rPr>
        <w:t xml:space="preserve"> </w:t>
      </w:r>
      <w:r w:rsidR="00117A4E" w:rsidRPr="00117A4E">
        <w:rPr>
          <w:rFonts w:ascii="Arial" w:hAnsi="Arial" w:cs="Arial"/>
          <w:sz w:val="24"/>
          <w:szCs w:val="24"/>
        </w:rPr>
        <w:t>provides a reconciliation of the Medium-Term Financial Forecast (MTFF) shortfall, comparing the position presented during the February 2025 budget setting with the current financial outlook</w:t>
      </w:r>
      <w:r w:rsidR="00CE617F">
        <w:rPr>
          <w:rFonts w:ascii="Arial" w:hAnsi="Arial" w:cs="Arial"/>
          <w:sz w:val="24"/>
          <w:szCs w:val="24"/>
        </w:rPr>
        <w:t>.</w:t>
      </w:r>
    </w:p>
    <w:p w14:paraId="604A4443" w14:textId="77777777" w:rsidR="007802F1" w:rsidRDefault="007802F1" w:rsidP="009D3311">
      <w:pPr>
        <w:spacing w:after="0" w:line="240" w:lineRule="auto"/>
        <w:rPr>
          <w:rFonts w:ascii="Arial" w:hAnsi="Arial" w:cs="Arial"/>
          <w:sz w:val="24"/>
          <w:szCs w:val="24"/>
        </w:rPr>
      </w:pPr>
    </w:p>
    <w:p w14:paraId="2DC1D916" w14:textId="39C33128" w:rsidR="00E45062" w:rsidRPr="009B7A9D" w:rsidRDefault="00E00524" w:rsidP="00E45062">
      <w:pPr>
        <w:spacing w:after="0" w:line="240" w:lineRule="auto"/>
        <w:rPr>
          <w:rFonts w:ascii="Arial" w:hAnsi="Arial" w:cs="Arial"/>
          <w:b/>
          <w:bCs/>
          <w:color w:val="FF0000"/>
          <w:sz w:val="24"/>
          <w:szCs w:val="24"/>
        </w:rPr>
      </w:pPr>
      <w:r w:rsidRPr="00D83D76">
        <w:rPr>
          <w:rFonts w:ascii="Arial" w:hAnsi="Arial" w:cs="Arial"/>
          <w:b/>
          <w:bCs/>
          <w:sz w:val="24"/>
          <w:szCs w:val="24"/>
        </w:rPr>
        <w:t>4.</w:t>
      </w:r>
      <w:r w:rsidR="00261D2C">
        <w:rPr>
          <w:rFonts w:ascii="Arial" w:hAnsi="Arial" w:cs="Arial"/>
          <w:b/>
          <w:bCs/>
          <w:sz w:val="24"/>
          <w:szCs w:val="24"/>
        </w:rPr>
        <w:t>4</w:t>
      </w:r>
      <w:r w:rsidR="0056346A">
        <w:rPr>
          <w:rFonts w:ascii="Arial" w:hAnsi="Arial" w:cs="Arial"/>
          <w:b/>
          <w:bCs/>
          <w:sz w:val="24"/>
          <w:szCs w:val="24"/>
        </w:rPr>
        <w:tab/>
      </w:r>
      <w:r w:rsidR="00E45062">
        <w:rPr>
          <w:rFonts w:ascii="Arial" w:hAnsi="Arial" w:cs="Arial"/>
          <w:b/>
          <w:bCs/>
          <w:sz w:val="24"/>
          <w:szCs w:val="24"/>
        </w:rPr>
        <w:t xml:space="preserve">Risks </w:t>
      </w:r>
    </w:p>
    <w:p w14:paraId="00B1DE10" w14:textId="77777777" w:rsidR="00E45062" w:rsidRDefault="00E45062" w:rsidP="00E45062">
      <w:pPr>
        <w:spacing w:after="0" w:line="240" w:lineRule="auto"/>
        <w:rPr>
          <w:rFonts w:ascii="Arial" w:hAnsi="Arial" w:cs="Arial"/>
          <w:b/>
          <w:bCs/>
          <w:sz w:val="24"/>
          <w:szCs w:val="24"/>
        </w:rPr>
      </w:pPr>
    </w:p>
    <w:p w14:paraId="42A0C0B6" w14:textId="3668DD75" w:rsidR="00E45062" w:rsidRDefault="00F71A10" w:rsidP="00E45062">
      <w:pPr>
        <w:spacing w:after="0" w:line="240" w:lineRule="auto"/>
        <w:ind w:left="720"/>
        <w:rPr>
          <w:rFonts w:ascii="Arial" w:hAnsi="Arial" w:cs="Arial"/>
          <w:sz w:val="24"/>
          <w:szCs w:val="24"/>
          <w:lang w:val="en-AU"/>
        </w:rPr>
      </w:pPr>
      <w:r w:rsidRPr="007D1413">
        <w:rPr>
          <w:rFonts w:ascii="Arial" w:hAnsi="Arial" w:cs="Arial"/>
          <w:b/>
          <w:bCs/>
          <w:sz w:val="24"/>
          <w:szCs w:val="24"/>
          <w:lang w:val="en-AU"/>
        </w:rPr>
        <w:t>Inflation and macroeconomic factors</w:t>
      </w:r>
      <w:r w:rsidRPr="6C33CBC6">
        <w:rPr>
          <w:rFonts w:ascii="Arial" w:hAnsi="Arial" w:cs="Arial"/>
          <w:sz w:val="24"/>
          <w:szCs w:val="24"/>
          <w:lang w:val="en-AU"/>
        </w:rPr>
        <w:t xml:space="preserve">: </w:t>
      </w:r>
      <w:r w:rsidR="00E45062" w:rsidRPr="6C33CBC6">
        <w:rPr>
          <w:rFonts w:ascii="Arial" w:hAnsi="Arial" w:cs="Arial"/>
          <w:sz w:val="24"/>
          <w:szCs w:val="24"/>
          <w:lang w:val="en-AU"/>
        </w:rPr>
        <w:t>The annual police funding settlement is highly sensitive to macroeconomic factors like inflation. Forecast volatility in GDP and inflation can impact the real-terms value of the settlement, limiting the police's ability to absorb rising costs.</w:t>
      </w:r>
    </w:p>
    <w:p w14:paraId="2C0DE91A" w14:textId="77777777" w:rsidR="00E45062" w:rsidRPr="003213A7" w:rsidRDefault="00E45062" w:rsidP="00E45062">
      <w:pPr>
        <w:spacing w:after="0" w:line="240" w:lineRule="auto"/>
        <w:ind w:left="720"/>
        <w:rPr>
          <w:rFonts w:ascii="Arial" w:hAnsi="Arial" w:cs="Arial"/>
          <w:sz w:val="24"/>
          <w:szCs w:val="24"/>
          <w:lang w:val="en-AU"/>
        </w:rPr>
      </w:pPr>
    </w:p>
    <w:p w14:paraId="44DEA74E" w14:textId="388C6040" w:rsidR="00824AF4" w:rsidRDefault="00F71A10" w:rsidP="007D1413">
      <w:pPr>
        <w:spacing w:after="0" w:line="240" w:lineRule="auto"/>
        <w:ind w:left="720"/>
        <w:rPr>
          <w:rFonts w:ascii="Arial" w:hAnsi="Arial" w:cs="Arial"/>
          <w:sz w:val="24"/>
          <w:szCs w:val="24"/>
          <w:lang w:val="en-AU"/>
        </w:rPr>
      </w:pPr>
      <w:r w:rsidRPr="007D1413">
        <w:rPr>
          <w:rFonts w:ascii="Arial" w:hAnsi="Arial" w:cs="Arial"/>
          <w:b/>
          <w:bCs/>
          <w:sz w:val="24"/>
          <w:szCs w:val="24"/>
          <w:lang w:val="en-AU"/>
        </w:rPr>
        <w:t>Uncertainty over</w:t>
      </w:r>
      <w:r w:rsidR="007D4DE0" w:rsidRPr="007D1413">
        <w:rPr>
          <w:rFonts w:ascii="Arial" w:hAnsi="Arial" w:cs="Arial"/>
          <w:b/>
          <w:bCs/>
          <w:sz w:val="24"/>
          <w:szCs w:val="24"/>
          <w:lang w:val="en-AU"/>
        </w:rPr>
        <w:t xml:space="preserve"> police fund settlements</w:t>
      </w:r>
      <w:r w:rsidR="007D4DE0" w:rsidRPr="73913E31">
        <w:rPr>
          <w:rFonts w:ascii="Arial" w:hAnsi="Arial" w:cs="Arial"/>
          <w:sz w:val="24"/>
          <w:szCs w:val="24"/>
          <w:lang w:val="en-AU"/>
        </w:rPr>
        <w:t xml:space="preserve">: </w:t>
      </w:r>
      <w:r w:rsidR="00E45062" w:rsidRPr="73913E31">
        <w:rPr>
          <w:rFonts w:ascii="Arial" w:hAnsi="Arial" w:cs="Arial"/>
          <w:sz w:val="24"/>
          <w:szCs w:val="24"/>
          <w:lang w:val="en-AU"/>
        </w:rPr>
        <w:t xml:space="preserve">Whilst the spending review provided an update on departmental budgets 2026-27 to 2028-29, there remains a level of uncertainty, with the November Budget providing more narrative around the </w:t>
      </w:r>
      <w:proofErr w:type="gramStart"/>
      <w:r w:rsidR="00E45062" w:rsidRPr="73913E31">
        <w:rPr>
          <w:rFonts w:ascii="Arial" w:hAnsi="Arial" w:cs="Arial"/>
          <w:sz w:val="24"/>
          <w:szCs w:val="24"/>
          <w:lang w:val="en-AU"/>
        </w:rPr>
        <w:t>future plans</w:t>
      </w:r>
      <w:proofErr w:type="gramEnd"/>
      <w:r w:rsidR="00E45062" w:rsidRPr="73913E31">
        <w:rPr>
          <w:rFonts w:ascii="Arial" w:hAnsi="Arial" w:cs="Arial"/>
          <w:sz w:val="24"/>
          <w:szCs w:val="24"/>
          <w:lang w:val="en-AU"/>
        </w:rPr>
        <w:t xml:space="preserve"> for the government in the short/medium term. More detailed information on policing funding will be received in the Provisional Settlement early in December.</w:t>
      </w:r>
      <w:r w:rsidR="00824AF4" w:rsidRPr="73913E31">
        <w:rPr>
          <w:rFonts w:ascii="Arial" w:hAnsi="Arial" w:cs="Arial"/>
          <w:sz w:val="24"/>
          <w:szCs w:val="24"/>
          <w:lang w:val="en-AU"/>
        </w:rPr>
        <w:t xml:space="preserve"> It is possible that any additional funding may come with new requirements or expectations, which could result in additional costs for forces, limiting the impact of any uplift.</w:t>
      </w:r>
    </w:p>
    <w:p w14:paraId="0ABFD681" w14:textId="77777777" w:rsidR="00E934FE" w:rsidRDefault="00E934FE" w:rsidP="00E934FE">
      <w:pPr>
        <w:spacing w:after="0" w:line="240" w:lineRule="auto"/>
        <w:rPr>
          <w:rFonts w:ascii="Arial" w:hAnsi="Arial" w:cs="Arial"/>
          <w:sz w:val="24"/>
          <w:szCs w:val="24"/>
          <w:lang w:val="en-AU"/>
        </w:rPr>
      </w:pPr>
    </w:p>
    <w:p w14:paraId="7B6E5D83" w14:textId="076D3ED3" w:rsidR="00F71A10" w:rsidRPr="007D4DE0" w:rsidRDefault="00F71A10" w:rsidP="007D1413">
      <w:pPr>
        <w:spacing w:after="0" w:line="240" w:lineRule="auto"/>
        <w:ind w:left="720"/>
        <w:rPr>
          <w:rFonts w:ascii="Arial" w:hAnsi="Arial" w:cs="Arial"/>
          <w:sz w:val="24"/>
          <w:szCs w:val="24"/>
          <w:lang w:val="en-AU"/>
        </w:rPr>
      </w:pPr>
      <w:r w:rsidRPr="007D1413">
        <w:rPr>
          <w:rFonts w:ascii="Arial" w:hAnsi="Arial" w:cs="Arial"/>
          <w:b/>
          <w:bCs/>
          <w:sz w:val="24"/>
          <w:szCs w:val="24"/>
          <w:lang w:val="en-AU"/>
        </w:rPr>
        <w:t xml:space="preserve">Pay award </w:t>
      </w:r>
      <w:r w:rsidR="007D4DE0" w:rsidRPr="007D4DE0">
        <w:rPr>
          <w:rFonts w:ascii="Arial" w:hAnsi="Arial" w:cs="Arial"/>
          <w:b/>
          <w:bCs/>
          <w:sz w:val="24"/>
          <w:szCs w:val="24"/>
          <w:lang w:val="en-AU"/>
        </w:rPr>
        <w:t>assumptions</w:t>
      </w:r>
      <w:r w:rsidRPr="007D1413">
        <w:rPr>
          <w:rFonts w:ascii="Arial" w:hAnsi="Arial" w:cs="Arial"/>
          <w:b/>
          <w:bCs/>
          <w:sz w:val="24"/>
          <w:szCs w:val="24"/>
          <w:lang w:val="en-AU"/>
        </w:rPr>
        <w:t xml:space="preserve">: </w:t>
      </w:r>
      <w:r w:rsidRPr="007D4DE0">
        <w:rPr>
          <w:rFonts w:ascii="Arial" w:hAnsi="Arial" w:cs="Arial"/>
          <w:sz w:val="24"/>
          <w:szCs w:val="24"/>
          <w:lang w:val="en-AU"/>
        </w:rPr>
        <w:t>The Medium-Term Financial Forecast (MTFF) currently assumes a 2% pay award for future years, based on budget constraints. However, this may be an underestimate. In the current financial year, a</w:t>
      </w:r>
      <w:r w:rsidR="007D4DE0">
        <w:rPr>
          <w:rFonts w:ascii="Arial" w:hAnsi="Arial" w:cs="Arial"/>
          <w:sz w:val="24"/>
          <w:szCs w:val="24"/>
          <w:lang w:val="en-AU"/>
        </w:rPr>
        <w:t>n above inflation</w:t>
      </w:r>
      <w:r w:rsidRPr="007D4DE0">
        <w:rPr>
          <w:rFonts w:ascii="Arial" w:hAnsi="Arial" w:cs="Arial"/>
          <w:sz w:val="24"/>
          <w:szCs w:val="24"/>
          <w:lang w:val="en-AU"/>
        </w:rPr>
        <w:t xml:space="preserve"> 4.2% pay award was agreed</w:t>
      </w:r>
      <w:r w:rsidR="007D4DE0">
        <w:rPr>
          <w:rFonts w:ascii="Arial" w:hAnsi="Arial" w:cs="Arial"/>
          <w:sz w:val="24"/>
          <w:szCs w:val="24"/>
          <w:lang w:val="en-AU"/>
        </w:rPr>
        <w:t xml:space="preserve">, </w:t>
      </w:r>
      <w:r w:rsidRPr="007D4DE0">
        <w:rPr>
          <w:rFonts w:ascii="Arial" w:hAnsi="Arial" w:cs="Arial"/>
          <w:sz w:val="24"/>
          <w:szCs w:val="24"/>
          <w:lang w:val="en-AU"/>
        </w:rPr>
        <w:t>and the £120 million national grant provided to support this did not fully cover the</w:t>
      </w:r>
      <w:r w:rsidR="005B6985">
        <w:rPr>
          <w:rFonts w:ascii="Arial" w:hAnsi="Arial" w:cs="Arial"/>
          <w:sz w:val="24"/>
          <w:szCs w:val="24"/>
          <w:lang w:val="en-AU"/>
        </w:rPr>
        <w:t xml:space="preserve"> full national</w:t>
      </w:r>
      <w:r w:rsidRPr="007D4DE0">
        <w:rPr>
          <w:rFonts w:ascii="Arial" w:hAnsi="Arial" w:cs="Arial"/>
          <w:sz w:val="24"/>
          <w:szCs w:val="24"/>
          <w:lang w:val="en-AU"/>
        </w:rPr>
        <w:t xml:space="preserve"> additional cost.</w:t>
      </w:r>
      <w:r w:rsidR="007D4DE0">
        <w:rPr>
          <w:rFonts w:ascii="Arial" w:hAnsi="Arial" w:cs="Arial"/>
          <w:sz w:val="24"/>
          <w:szCs w:val="24"/>
          <w:lang w:val="en-AU"/>
        </w:rPr>
        <w:t xml:space="preserve">  </w:t>
      </w:r>
    </w:p>
    <w:p w14:paraId="7FA8F4AC" w14:textId="04AF8449" w:rsidR="00F71A10" w:rsidRPr="007D1413" w:rsidRDefault="00F71A10" w:rsidP="00F71A10">
      <w:pPr>
        <w:spacing w:after="0" w:line="240" w:lineRule="auto"/>
        <w:ind w:left="720"/>
        <w:rPr>
          <w:rFonts w:ascii="Arial" w:hAnsi="Arial" w:cs="Arial"/>
          <w:b/>
          <w:bCs/>
          <w:sz w:val="24"/>
          <w:szCs w:val="24"/>
          <w:lang w:val="en-AU"/>
        </w:rPr>
      </w:pPr>
      <w:r w:rsidRPr="007D4DE0">
        <w:rPr>
          <w:rFonts w:ascii="Arial" w:hAnsi="Arial" w:cs="Arial"/>
          <w:sz w:val="24"/>
          <w:szCs w:val="24"/>
          <w:lang w:val="en-AU"/>
        </w:rPr>
        <w:t>The MTFF builds in the 4.2% pay award as part of the baseline salary costs for 2025–26 and beyond. It also assumes that the £120 million grant will continue in future years to help fund this increase. However, this ongoing funding has not yet been confirmed, creating a potential financial risk if future pay awards exceed the 2% assumption or if national support is reduced or withdrawn.</w:t>
      </w:r>
    </w:p>
    <w:p w14:paraId="5BA97BA5" w14:textId="77777777" w:rsidR="003D3157" w:rsidRPr="007D1413" w:rsidRDefault="003D3157" w:rsidP="003D3157">
      <w:pPr>
        <w:spacing w:after="0" w:line="240" w:lineRule="auto"/>
        <w:ind w:left="720"/>
        <w:rPr>
          <w:rFonts w:ascii="Arial" w:hAnsi="Arial" w:cs="Arial"/>
          <w:b/>
          <w:bCs/>
          <w:sz w:val="24"/>
          <w:szCs w:val="24"/>
          <w:lang w:val="en-AU"/>
        </w:rPr>
      </w:pPr>
      <w:r>
        <w:rPr>
          <w:rFonts w:ascii="Arial" w:hAnsi="Arial" w:cs="Arial"/>
          <w:sz w:val="24"/>
          <w:szCs w:val="24"/>
          <w:lang w:val="en-AU"/>
        </w:rPr>
        <w:t xml:space="preserve">The pay award assumptions will be revised post settlement in December as that will give a clearer indication of the Home Office assumptions regarding pay awards. Some forces assume a higher pay award but also assume growth in the core police grant. </w:t>
      </w:r>
      <w:proofErr w:type="gramStart"/>
      <w:r>
        <w:rPr>
          <w:rFonts w:ascii="Arial" w:hAnsi="Arial" w:cs="Arial"/>
          <w:sz w:val="24"/>
          <w:szCs w:val="24"/>
          <w:lang w:val="en-AU"/>
        </w:rPr>
        <w:t>In order to</w:t>
      </w:r>
      <w:proofErr w:type="gramEnd"/>
      <w:r>
        <w:rPr>
          <w:rFonts w:ascii="Arial" w:hAnsi="Arial" w:cs="Arial"/>
          <w:sz w:val="24"/>
          <w:szCs w:val="24"/>
          <w:lang w:val="en-AU"/>
        </w:rPr>
        <w:t xml:space="preserve"> avoid unhelpful volatility in planning and messaging, the intention is to await the settlement prior to revising the pay forecast.</w:t>
      </w:r>
    </w:p>
    <w:p w14:paraId="1B22881D" w14:textId="77777777" w:rsidR="00E45062" w:rsidRDefault="00E45062" w:rsidP="00E45062">
      <w:pPr>
        <w:spacing w:after="0" w:line="240" w:lineRule="auto"/>
        <w:ind w:left="720"/>
        <w:rPr>
          <w:rFonts w:ascii="Arial" w:hAnsi="Arial" w:cs="Arial"/>
          <w:sz w:val="24"/>
          <w:szCs w:val="24"/>
          <w:lang w:val="en-AU"/>
        </w:rPr>
      </w:pPr>
    </w:p>
    <w:p w14:paraId="16CC8566" w14:textId="6A6C52AC" w:rsidR="00E45062" w:rsidRDefault="005421EC" w:rsidP="00E45062">
      <w:pPr>
        <w:spacing w:after="0" w:line="240" w:lineRule="auto"/>
        <w:ind w:left="720"/>
        <w:rPr>
          <w:rFonts w:ascii="Arial" w:hAnsi="Arial" w:cs="Arial"/>
          <w:sz w:val="24"/>
          <w:szCs w:val="24"/>
          <w:lang w:val="en-AU"/>
        </w:rPr>
      </w:pPr>
      <w:r w:rsidRPr="2D7164C8">
        <w:rPr>
          <w:rFonts w:ascii="Arial" w:hAnsi="Arial" w:cs="Arial"/>
          <w:b/>
          <w:bCs/>
          <w:sz w:val="24"/>
          <w:szCs w:val="24"/>
          <w:lang w:val="en-AU"/>
        </w:rPr>
        <w:t>Increasing demand and service expectations</w:t>
      </w:r>
      <w:r w:rsidRPr="2D7164C8">
        <w:rPr>
          <w:rFonts w:ascii="Arial" w:hAnsi="Arial" w:cs="Arial"/>
          <w:sz w:val="24"/>
          <w:szCs w:val="24"/>
          <w:lang w:val="en-AU"/>
        </w:rPr>
        <w:t xml:space="preserve">: </w:t>
      </w:r>
      <w:r w:rsidR="00E45062" w:rsidRPr="2D7164C8">
        <w:rPr>
          <w:rFonts w:ascii="Arial" w:hAnsi="Arial" w:cs="Arial"/>
          <w:sz w:val="24"/>
          <w:szCs w:val="24"/>
          <w:lang w:val="en-AU"/>
        </w:rPr>
        <w:t xml:space="preserve">Growing </w:t>
      </w:r>
      <w:r w:rsidR="009B7216" w:rsidRPr="2D7164C8">
        <w:rPr>
          <w:rFonts w:ascii="Arial" w:hAnsi="Arial" w:cs="Arial"/>
          <w:sz w:val="24"/>
          <w:szCs w:val="24"/>
          <w:lang w:val="en-AU"/>
        </w:rPr>
        <w:t xml:space="preserve">population numbers within West Yorkshire, </w:t>
      </w:r>
      <w:r w:rsidR="00B66BE5" w:rsidRPr="2D7164C8">
        <w:rPr>
          <w:rFonts w:ascii="Arial" w:hAnsi="Arial" w:cs="Arial"/>
          <w:sz w:val="24"/>
          <w:szCs w:val="24"/>
          <w:lang w:val="en-AU"/>
        </w:rPr>
        <w:t xml:space="preserve">combined with complex crime trends (such as increases in cybercrime and serious violence) create increased demand and pressure on police services.  </w:t>
      </w:r>
    </w:p>
    <w:p w14:paraId="542A743D" w14:textId="5D033398" w:rsidR="2D7164C8" w:rsidRDefault="2D7164C8" w:rsidP="2D7164C8">
      <w:pPr>
        <w:spacing w:after="0" w:line="240" w:lineRule="auto"/>
        <w:ind w:left="720"/>
        <w:rPr>
          <w:rFonts w:ascii="Arial" w:hAnsi="Arial" w:cs="Arial"/>
          <w:sz w:val="24"/>
          <w:szCs w:val="24"/>
          <w:lang w:val="en-AU"/>
        </w:rPr>
      </w:pPr>
    </w:p>
    <w:p w14:paraId="724301F5" w14:textId="63CC21DF" w:rsidR="2D7164C8" w:rsidRDefault="2D7164C8" w:rsidP="2D7164C8">
      <w:pPr>
        <w:spacing w:after="0" w:line="240" w:lineRule="auto"/>
        <w:ind w:left="720"/>
        <w:rPr>
          <w:rFonts w:ascii="Arial" w:hAnsi="Arial" w:cs="Arial"/>
          <w:sz w:val="24"/>
          <w:szCs w:val="24"/>
          <w:lang w:val="en-AU"/>
        </w:rPr>
      </w:pPr>
    </w:p>
    <w:p w14:paraId="05D293DE" w14:textId="671CCEE2" w:rsidR="2D7164C8" w:rsidRDefault="2D7164C8" w:rsidP="2D7164C8">
      <w:pPr>
        <w:spacing w:after="0" w:line="240" w:lineRule="auto"/>
        <w:ind w:left="720"/>
        <w:rPr>
          <w:rFonts w:ascii="Arial" w:hAnsi="Arial" w:cs="Arial"/>
          <w:sz w:val="24"/>
          <w:szCs w:val="24"/>
          <w:lang w:val="en-AU"/>
        </w:rPr>
      </w:pPr>
    </w:p>
    <w:p w14:paraId="5DD17FE6" w14:textId="36AA8FDE" w:rsidR="2D7164C8" w:rsidRDefault="2D7164C8" w:rsidP="2D7164C8">
      <w:pPr>
        <w:spacing w:after="0" w:line="240" w:lineRule="auto"/>
        <w:ind w:left="720"/>
        <w:rPr>
          <w:rFonts w:ascii="Arial" w:hAnsi="Arial" w:cs="Arial"/>
          <w:sz w:val="24"/>
          <w:szCs w:val="24"/>
          <w:lang w:val="en-AU"/>
        </w:rPr>
      </w:pPr>
    </w:p>
    <w:p w14:paraId="3F264AC2" w14:textId="77777777" w:rsidR="00E45062" w:rsidRDefault="00E45062" w:rsidP="00E45062">
      <w:pPr>
        <w:spacing w:after="0" w:line="240" w:lineRule="auto"/>
        <w:ind w:left="720"/>
        <w:rPr>
          <w:rFonts w:ascii="Arial" w:hAnsi="Arial" w:cs="Arial"/>
          <w:sz w:val="24"/>
          <w:szCs w:val="24"/>
          <w:lang w:val="en-AU"/>
        </w:rPr>
      </w:pPr>
    </w:p>
    <w:p w14:paraId="3EA96EB8" w14:textId="16286744" w:rsidR="0059173F" w:rsidRPr="009B7A9D" w:rsidRDefault="0059173F" w:rsidP="0059173F">
      <w:pPr>
        <w:spacing w:after="0" w:line="240" w:lineRule="auto"/>
        <w:rPr>
          <w:rFonts w:ascii="Arial" w:hAnsi="Arial" w:cs="Arial"/>
          <w:b/>
          <w:bCs/>
          <w:color w:val="FF0000"/>
          <w:sz w:val="24"/>
          <w:szCs w:val="24"/>
        </w:rPr>
      </w:pPr>
      <w:r w:rsidRPr="00D83D76">
        <w:rPr>
          <w:rFonts w:ascii="Arial" w:hAnsi="Arial" w:cs="Arial"/>
          <w:b/>
          <w:bCs/>
          <w:sz w:val="24"/>
          <w:szCs w:val="24"/>
        </w:rPr>
        <w:t>4.</w:t>
      </w:r>
      <w:r w:rsidR="00B1764B">
        <w:rPr>
          <w:rFonts w:ascii="Arial" w:hAnsi="Arial" w:cs="Arial"/>
          <w:b/>
          <w:bCs/>
          <w:sz w:val="24"/>
          <w:szCs w:val="24"/>
        </w:rPr>
        <w:t>5</w:t>
      </w:r>
      <w:r>
        <w:rPr>
          <w:rFonts w:ascii="Arial" w:hAnsi="Arial" w:cs="Arial"/>
          <w:b/>
          <w:bCs/>
          <w:sz w:val="24"/>
          <w:szCs w:val="24"/>
        </w:rPr>
        <w:tab/>
        <w:t xml:space="preserve">Update on </w:t>
      </w:r>
      <w:r w:rsidR="00A6679A">
        <w:rPr>
          <w:rFonts w:ascii="Arial" w:hAnsi="Arial" w:cs="Arial"/>
          <w:b/>
          <w:bCs/>
          <w:sz w:val="24"/>
          <w:szCs w:val="24"/>
        </w:rPr>
        <w:t xml:space="preserve">Police and Crime Panel </w:t>
      </w:r>
      <w:r w:rsidR="00001702">
        <w:rPr>
          <w:rFonts w:ascii="Arial" w:hAnsi="Arial" w:cs="Arial"/>
          <w:b/>
          <w:bCs/>
          <w:sz w:val="24"/>
          <w:szCs w:val="24"/>
        </w:rPr>
        <w:t>Precept Assurances</w:t>
      </w:r>
      <w:r>
        <w:rPr>
          <w:rFonts w:ascii="Arial" w:hAnsi="Arial" w:cs="Arial"/>
          <w:b/>
          <w:bCs/>
          <w:sz w:val="24"/>
          <w:szCs w:val="24"/>
        </w:rPr>
        <w:t xml:space="preserve">  </w:t>
      </w:r>
    </w:p>
    <w:p w14:paraId="04A095DC" w14:textId="77777777" w:rsidR="001C085E" w:rsidRDefault="001C085E" w:rsidP="002159DE">
      <w:pPr>
        <w:spacing w:after="0" w:line="240" w:lineRule="auto"/>
        <w:rPr>
          <w:rFonts w:ascii="Arial" w:hAnsi="Arial" w:cs="Arial"/>
          <w:b/>
          <w:bCs/>
          <w:sz w:val="24"/>
          <w:szCs w:val="24"/>
        </w:rPr>
      </w:pPr>
    </w:p>
    <w:p w14:paraId="1540FB22" w14:textId="4E010E6C" w:rsidR="00001702" w:rsidRPr="007D1413" w:rsidRDefault="00001702" w:rsidP="007D1413">
      <w:pPr>
        <w:spacing w:after="0" w:line="240" w:lineRule="auto"/>
        <w:ind w:left="720"/>
        <w:rPr>
          <w:rFonts w:ascii="Arial" w:hAnsi="Arial" w:cs="Arial"/>
          <w:sz w:val="24"/>
          <w:szCs w:val="24"/>
          <w:lang w:val="en-AU"/>
        </w:rPr>
      </w:pPr>
      <w:r w:rsidRPr="6C33CBC6">
        <w:rPr>
          <w:rFonts w:ascii="Arial" w:hAnsi="Arial" w:cs="Arial"/>
          <w:sz w:val="24"/>
          <w:szCs w:val="24"/>
          <w:lang w:val="en-AU"/>
        </w:rPr>
        <w:t xml:space="preserve">As part of the Police and Crime Panel approval to the 2025/26 budget and proposed precept </w:t>
      </w:r>
      <w:r w:rsidR="002C68A7" w:rsidRPr="6C33CBC6">
        <w:rPr>
          <w:rFonts w:ascii="Arial" w:hAnsi="Arial" w:cs="Arial"/>
          <w:sz w:val="24"/>
          <w:szCs w:val="24"/>
          <w:lang w:val="en-AU"/>
        </w:rPr>
        <w:t>amounts, the Panel sought assurance on the following 4 items</w:t>
      </w:r>
      <w:r w:rsidR="002C1893" w:rsidRPr="6C33CBC6">
        <w:rPr>
          <w:rFonts w:ascii="Arial" w:hAnsi="Arial" w:cs="Arial"/>
          <w:sz w:val="24"/>
          <w:szCs w:val="24"/>
          <w:lang w:val="en-AU"/>
        </w:rPr>
        <w:t>.  This section of the report provides an update against each of these commitments:</w:t>
      </w:r>
      <w:r w:rsidR="002C68A7" w:rsidRPr="007D1413">
        <w:rPr>
          <w:rFonts w:ascii="Arial" w:hAnsi="Arial" w:cs="Arial"/>
          <w:sz w:val="24"/>
          <w:szCs w:val="24"/>
          <w:lang w:val="en-AU"/>
        </w:rPr>
        <w:t xml:space="preserve"> </w:t>
      </w:r>
    </w:p>
    <w:p w14:paraId="2CB234F6" w14:textId="77777777" w:rsidR="00001702" w:rsidRPr="007D1413" w:rsidRDefault="00001702" w:rsidP="007D1413">
      <w:pPr>
        <w:spacing w:after="0" w:line="240" w:lineRule="auto"/>
        <w:ind w:left="720"/>
        <w:rPr>
          <w:rFonts w:ascii="Arial" w:hAnsi="Arial" w:cs="Arial"/>
          <w:sz w:val="24"/>
          <w:szCs w:val="24"/>
          <w:lang w:val="en-AU"/>
        </w:rPr>
      </w:pPr>
    </w:p>
    <w:p w14:paraId="56CE3FB6" w14:textId="43893710" w:rsidR="00820DA6" w:rsidRPr="00820DA6" w:rsidRDefault="001C085E" w:rsidP="00820DA6">
      <w:pPr>
        <w:pStyle w:val="ListParagraph"/>
        <w:numPr>
          <w:ilvl w:val="0"/>
          <w:numId w:val="34"/>
        </w:numPr>
        <w:spacing w:after="0" w:line="240" w:lineRule="auto"/>
        <w:rPr>
          <w:rFonts w:ascii="Arial" w:hAnsi="Arial" w:cs="Arial"/>
          <w:b/>
          <w:bCs/>
          <w:sz w:val="24"/>
          <w:szCs w:val="24"/>
          <w:lang w:val="en-AU"/>
        </w:rPr>
      </w:pPr>
      <w:r w:rsidRPr="007D1413">
        <w:rPr>
          <w:rFonts w:ascii="Arial" w:hAnsi="Arial" w:cs="Arial"/>
          <w:b/>
          <w:bCs/>
          <w:sz w:val="24"/>
          <w:szCs w:val="24"/>
          <w:lang w:val="en-AU"/>
        </w:rPr>
        <w:t>Work with West Yorkshire Police to retain and increase the numbers of PCSOs where funding allow</w:t>
      </w:r>
      <w:r w:rsidR="00820DA6">
        <w:rPr>
          <w:rFonts w:ascii="Arial" w:hAnsi="Arial" w:cs="Arial"/>
          <w:b/>
          <w:bCs/>
          <w:sz w:val="24"/>
          <w:szCs w:val="24"/>
          <w:lang w:val="en-AU"/>
        </w:rPr>
        <w:t>s</w:t>
      </w:r>
    </w:p>
    <w:p w14:paraId="27BEBF64" w14:textId="77777777" w:rsidR="00820DA6" w:rsidRDefault="00820DA6" w:rsidP="001C085E">
      <w:pPr>
        <w:pStyle w:val="ListParagraph"/>
        <w:spacing w:after="0" w:line="276" w:lineRule="auto"/>
        <w:rPr>
          <w:rFonts w:ascii="Arial" w:eastAsia="MS PGothic" w:hAnsi="Arial" w:cs="Arial"/>
        </w:rPr>
      </w:pPr>
    </w:p>
    <w:p w14:paraId="02EEA5DF" w14:textId="61D6878E" w:rsidR="00C3679D" w:rsidRDefault="00C3679D">
      <w:pPr>
        <w:spacing w:after="0" w:line="240" w:lineRule="auto"/>
        <w:ind w:left="720"/>
        <w:rPr>
          <w:rFonts w:ascii="Arial" w:hAnsi="Arial" w:cs="Arial"/>
          <w:sz w:val="24"/>
          <w:szCs w:val="24"/>
        </w:rPr>
      </w:pPr>
      <w:r w:rsidRPr="00C3679D">
        <w:rPr>
          <w:rFonts w:ascii="Arial" w:hAnsi="Arial" w:cs="Arial"/>
          <w:sz w:val="24"/>
          <w:szCs w:val="24"/>
        </w:rPr>
        <w:t xml:space="preserve">Due to a slower rate of attrition than originally forecast, the number of Police Community Support Officers (PCSOs) is expected to remain slightly higher than </w:t>
      </w:r>
      <w:r w:rsidR="0031737F">
        <w:rPr>
          <w:rFonts w:ascii="Arial" w:hAnsi="Arial" w:cs="Arial"/>
          <w:sz w:val="24"/>
          <w:szCs w:val="24"/>
        </w:rPr>
        <w:t>forecast</w:t>
      </w:r>
      <w:r w:rsidRPr="00C3679D">
        <w:rPr>
          <w:rFonts w:ascii="Arial" w:hAnsi="Arial" w:cs="Arial"/>
          <w:sz w:val="24"/>
          <w:szCs w:val="24"/>
        </w:rPr>
        <w:t xml:space="preserve"> over the next three years.</w:t>
      </w:r>
      <w:r w:rsidR="0031737F">
        <w:rPr>
          <w:rFonts w:ascii="Arial" w:hAnsi="Arial" w:cs="Arial"/>
          <w:sz w:val="24"/>
          <w:szCs w:val="24"/>
        </w:rPr>
        <w:t xml:space="preserve">  </w:t>
      </w:r>
      <w:r w:rsidR="0031737F" w:rsidRPr="0031737F">
        <w:rPr>
          <w:rFonts w:ascii="Arial" w:hAnsi="Arial" w:cs="Arial"/>
          <w:sz w:val="24"/>
          <w:szCs w:val="24"/>
        </w:rPr>
        <w:t xml:space="preserve">Thanks to successful outcomes in other areas of the Priority-Based Budgeting (PBB) exercise, the additional costs associated with this change can be </w:t>
      </w:r>
      <w:r w:rsidR="0031737F">
        <w:rPr>
          <w:rFonts w:ascii="Arial" w:hAnsi="Arial" w:cs="Arial"/>
          <w:sz w:val="24"/>
          <w:szCs w:val="24"/>
        </w:rPr>
        <w:t>offset.</w:t>
      </w:r>
    </w:p>
    <w:p w14:paraId="5D3C7B46" w14:textId="77777777" w:rsidR="00C3679D" w:rsidRDefault="00C3679D">
      <w:pPr>
        <w:spacing w:after="0" w:line="240" w:lineRule="auto"/>
        <w:ind w:left="720"/>
        <w:rPr>
          <w:rFonts w:ascii="Arial" w:hAnsi="Arial" w:cs="Arial"/>
          <w:sz w:val="24"/>
          <w:szCs w:val="24"/>
        </w:rPr>
      </w:pPr>
    </w:p>
    <w:p w14:paraId="720E8839" w14:textId="0B57ADDC" w:rsidR="00347B20" w:rsidRPr="00A840CA" w:rsidRDefault="00E34C09" w:rsidP="00A840CA">
      <w:pPr>
        <w:spacing w:after="0" w:line="240" w:lineRule="auto"/>
        <w:ind w:left="720"/>
        <w:rPr>
          <w:rFonts w:ascii="Arial" w:hAnsi="Arial" w:cs="Arial"/>
          <w:sz w:val="24"/>
          <w:szCs w:val="24"/>
        </w:rPr>
      </w:pPr>
      <w:r>
        <w:rPr>
          <w:rFonts w:ascii="Arial" w:hAnsi="Arial" w:cs="Arial"/>
          <w:sz w:val="24"/>
          <w:szCs w:val="24"/>
        </w:rPr>
        <w:t>To support neighbourhood policing, a</w:t>
      </w:r>
      <w:r w:rsidR="00347B20" w:rsidRPr="00A840CA">
        <w:rPr>
          <w:rFonts w:ascii="Arial" w:hAnsi="Arial" w:cs="Arial"/>
          <w:sz w:val="24"/>
          <w:szCs w:val="24"/>
        </w:rPr>
        <w:t xml:space="preserve"> decision was taken to increase the number of Neighbourhood Officers as part of the Home Office Neighbourhood Uplift Grant</w:t>
      </w:r>
      <w:r>
        <w:rPr>
          <w:rFonts w:ascii="Arial" w:hAnsi="Arial" w:cs="Arial"/>
          <w:sz w:val="24"/>
          <w:szCs w:val="24"/>
        </w:rPr>
        <w:t>. This was</w:t>
      </w:r>
      <w:r w:rsidR="00347B20" w:rsidRPr="00A840CA">
        <w:rPr>
          <w:rFonts w:ascii="Arial" w:hAnsi="Arial" w:cs="Arial"/>
          <w:sz w:val="24"/>
          <w:szCs w:val="24"/>
        </w:rPr>
        <w:t xml:space="preserve"> due to the greater flexibility </w:t>
      </w:r>
      <w:r>
        <w:rPr>
          <w:rFonts w:ascii="Arial" w:hAnsi="Arial" w:cs="Arial"/>
          <w:sz w:val="24"/>
          <w:szCs w:val="24"/>
        </w:rPr>
        <w:t>this</w:t>
      </w:r>
      <w:r w:rsidRPr="00A840CA">
        <w:rPr>
          <w:rFonts w:ascii="Arial" w:hAnsi="Arial" w:cs="Arial"/>
          <w:sz w:val="24"/>
          <w:szCs w:val="24"/>
        </w:rPr>
        <w:t xml:space="preserve"> </w:t>
      </w:r>
      <w:r w:rsidR="00347B20" w:rsidRPr="00A840CA">
        <w:rPr>
          <w:rFonts w:ascii="Arial" w:hAnsi="Arial" w:cs="Arial"/>
          <w:sz w:val="24"/>
          <w:szCs w:val="24"/>
        </w:rPr>
        <w:t xml:space="preserve">enabled for the use of the grant </w:t>
      </w:r>
      <w:proofErr w:type="gramStart"/>
      <w:r w:rsidR="00347B20" w:rsidRPr="00A840CA">
        <w:rPr>
          <w:rFonts w:ascii="Arial" w:hAnsi="Arial" w:cs="Arial"/>
          <w:sz w:val="24"/>
          <w:szCs w:val="24"/>
        </w:rPr>
        <w:t>and also</w:t>
      </w:r>
      <w:proofErr w:type="gramEnd"/>
      <w:r w:rsidR="00347B20" w:rsidRPr="00A840CA">
        <w:rPr>
          <w:rFonts w:ascii="Arial" w:hAnsi="Arial" w:cs="Arial"/>
          <w:sz w:val="24"/>
          <w:szCs w:val="24"/>
        </w:rPr>
        <w:t xml:space="preserve"> for the operational flexibility. Officer numbers in Neighbourhoods will increase from the end of March 2025 baseline by 100 officers.</w:t>
      </w:r>
    </w:p>
    <w:p w14:paraId="0FB8762C" w14:textId="77777777" w:rsidR="00347B20" w:rsidRPr="001C085E" w:rsidRDefault="00347B20" w:rsidP="001C085E">
      <w:pPr>
        <w:pStyle w:val="ListParagraph"/>
        <w:spacing w:after="0" w:line="276" w:lineRule="auto"/>
        <w:rPr>
          <w:rFonts w:ascii="Arial" w:eastAsia="MS PGothic" w:hAnsi="Arial" w:cs="Arial"/>
          <w:color w:val="FF0000"/>
        </w:rPr>
      </w:pPr>
    </w:p>
    <w:p w14:paraId="2C7FF58F" w14:textId="0527AB98" w:rsidR="001C085E" w:rsidRPr="007D1413" w:rsidRDefault="001C085E" w:rsidP="007D1413">
      <w:pPr>
        <w:pStyle w:val="ListParagraph"/>
        <w:numPr>
          <w:ilvl w:val="0"/>
          <w:numId w:val="34"/>
        </w:numPr>
        <w:spacing w:after="0" w:line="240" w:lineRule="auto"/>
        <w:rPr>
          <w:rFonts w:ascii="Arial" w:hAnsi="Arial" w:cs="Arial"/>
          <w:b/>
          <w:bCs/>
          <w:sz w:val="24"/>
          <w:szCs w:val="24"/>
          <w:lang w:val="en-AU"/>
        </w:rPr>
      </w:pPr>
      <w:r w:rsidRPr="6C33CBC6">
        <w:rPr>
          <w:rFonts w:ascii="Arial" w:hAnsi="Arial" w:cs="Arial"/>
          <w:b/>
          <w:bCs/>
          <w:sz w:val="24"/>
          <w:szCs w:val="24"/>
          <w:lang w:val="en-AU"/>
        </w:rPr>
        <w:t>Update the Panel on the progress of Priority Based Budgeting, ensuring that the necessary efficiencies are on track to meet projected funding shortfalls. Additionally, outline contingency plans if these efficiencies are not achieved</w:t>
      </w:r>
    </w:p>
    <w:p w14:paraId="5F1F10BA" w14:textId="77777777" w:rsidR="00B1764B" w:rsidRDefault="00B1764B" w:rsidP="00A753E2">
      <w:pPr>
        <w:spacing w:after="0" w:line="276" w:lineRule="auto"/>
        <w:ind w:left="720"/>
        <w:contextualSpacing/>
        <w:rPr>
          <w:rFonts w:ascii="Arial" w:eastAsia="MS PGothic" w:hAnsi="Arial" w:cs="Arial"/>
          <w:color w:val="FF0000"/>
          <w:shd w:val="clear" w:color="auto" w:fill="FAFAFA"/>
        </w:rPr>
      </w:pPr>
    </w:p>
    <w:p w14:paraId="525587B0" w14:textId="2A9D77C3" w:rsidR="00A753E2" w:rsidRPr="007D1413" w:rsidRDefault="00B1764B" w:rsidP="007D1413">
      <w:pPr>
        <w:spacing w:after="0" w:line="240" w:lineRule="auto"/>
        <w:ind w:left="720"/>
        <w:rPr>
          <w:rFonts w:ascii="Arial" w:hAnsi="Arial" w:cs="Arial"/>
          <w:sz w:val="24"/>
          <w:szCs w:val="24"/>
          <w:lang w:val="en-AU"/>
        </w:rPr>
      </w:pPr>
      <w:r w:rsidRPr="007D1413">
        <w:rPr>
          <w:rFonts w:ascii="Arial" w:hAnsi="Arial" w:cs="Arial"/>
          <w:sz w:val="24"/>
          <w:szCs w:val="24"/>
          <w:lang w:val="en-AU"/>
        </w:rPr>
        <w:t>Please see Section 4.3 for an update on the Priority Based Budgeting programme.</w:t>
      </w:r>
    </w:p>
    <w:p w14:paraId="5E0F7060" w14:textId="77777777" w:rsidR="002578F1" w:rsidRPr="001C085E" w:rsidRDefault="002578F1" w:rsidP="00A753E2">
      <w:pPr>
        <w:spacing w:after="0" w:line="276" w:lineRule="auto"/>
        <w:ind w:left="720"/>
        <w:contextualSpacing/>
        <w:rPr>
          <w:rFonts w:ascii="Arial" w:eastAsia="MS PGothic" w:hAnsi="Arial" w:cs="Arial"/>
          <w:color w:val="FF0000"/>
        </w:rPr>
      </w:pPr>
    </w:p>
    <w:p w14:paraId="43FC3754" w14:textId="745A4349" w:rsidR="001C085E" w:rsidRPr="007D1413" w:rsidRDefault="001C085E" w:rsidP="00B1764B">
      <w:pPr>
        <w:pStyle w:val="ListParagraph"/>
        <w:numPr>
          <w:ilvl w:val="0"/>
          <w:numId w:val="34"/>
        </w:numPr>
        <w:spacing w:after="0" w:line="240" w:lineRule="auto"/>
        <w:rPr>
          <w:rFonts w:ascii="Arial" w:hAnsi="Arial" w:cs="Arial"/>
          <w:b/>
          <w:bCs/>
          <w:sz w:val="24"/>
          <w:szCs w:val="24"/>
          <w:lang w:val="en-AU"/>
        </w:rPr>
      </w:pPr>
      <w:r w:rsidRPr="028C766B">
        <w:rPr>
          <w:rFonts w:ascii="Arial" w:hAnsi="Arial" w:cs="Arial"/>
          <w:b/>
          <w:bCs/>
          <w:sz w:val="24"/>
          <w:szCs w:val="24"/>
          <w:lang w:val="en-AU"/>
        </w:rPr>
        <w:t>To report back on the reserves position providing assurances that these are kept at a sustainable level, following our finance team’s mid-year report</w:t>
      </w:r>
      <w:r w:rsidR="00040FC0" w:rsidRPr="007D1413">
        <w:rPr>
          <w:rFonts w:ascii="Arial" w:hAnsi="Arial" w:cs="Arial"/>
          <w:b/>
          <w:bCs/>
          <w:sz w:val="24"/>
          <w:szCs w:val="24"/>
          <w:lang w:val="en-AU"/>
        </w:rPr>
        <w:t>:</w:t>
      </w:r>
    </w:p>
    <w:p w14:paraId="3DBDBD82" w14:textId="77777777" w:rsidR="00040FC0" w:rsidRPr="007D1413" w:rsidRDefault="00040FC0" w:rsidP="007D1413">
      <w:pPr>
        <w:pStyle w:val="ListParagraph"/>
        <w:spacing w:after="0" w:line="240" w:lineRule="auto"/>
        <w:ind w:left="1080"/>
        <w:rPr>
          <w:rFonts w:ascii="Arial" w:hAnsi="Arial" w:cs="Arial"/>
          <w:sz w:val="24"/>
          <w:szCs w:val="24"/>
          <w:lang w:val="en-AU"/>
        </w:rPr>
      </w:pPr>
    </w:p>
    <w:p w14:paraId="6C877247" w14:textId="681C55B8" w:rsidR="00AE3E3A" w:rsidRDefault="00AE3E3A" w:rsidP="00AE3E3A">
      <w:pPr>
        <w:spacing w:after="0" w:line="240" w:lineRule="auto"/>
        <w:ind w:left="720"/>
        <w:rPr>
          <w:rFonts w:ascii="Arial" w:hAnsi="Arial" w:cs="Arial"/>
          <w:sz w:val="24"/>
          <w:szCs w:val="24"/>
          <w:lang w:val="en-AU"/>
        </w:rPr>
      </w:pPr>
      <w:r w:rsidRPr="007D1413">
        <w:rPr>
          <w:rFonts w:ascii="Arial" w:hAnsi="Arial" w:cs="Arial"/>
          <w:sz w:val="24"/>
          <w:szCs w:val="24"/>
          <w:lang w:val="en-AU"/>
        </w:rPr>
        <w:t xml:space="preserve">General reserves currently represent 2.5% of the </w:t>
      </w:r>
      <w:r>
        <w:rPr>
          <w:rFonts w:ascii="Arial" w:hAnsi="Arial" w:cs="Arial"/>
          <w:sz w:val="24"/>
          <w:szCs w:val="24"/>
          <w:lang w:val="en-AU"/>
        </w:rPr>
        <w:t>force’s</w:t>
      </w:r>
      <w:r w:rsidRPr="007D1413">
        <w:rPr>
          <w:rFonts w:ascii="Arial" w:hAnsi="Arial" w:cs="Arial"/>
          <w:sz w:val="24"/>
          <w:szCs w:val="24"/>
          <w:lang w:val="en-AU"/>
        </w:rPr>
        <w:t xml:space="preserve"> net revenue spending for 2025–26. </w:t>
      </w:r>
      <w:r w:rsidR="0020641A" w:rsidRPr="007D1413">
        <w:rPr>
          <w:rFonts w:ascii="Arial" w:hAnsi="Arial" w:cs="Arial"/>
          <w:sz w:val="24"/>
          <w:szCs w:val="24"/>
          <w:lang w:val="en-AU"/>
        </w:rPr>
        <w:t>This level of reserves aligns with an internal target designed to support sound financial management.</w:t>
      </w:r>
      <w:r w:rsidR="0020641A">
        <w:rPr>
          <w:rFonts w:ascii="Arial" w:hAnsi="Arial" w:cs="Arial"/>
          <w:sz w:val="24"/>
          <w:szCs w:val="24"/>
          <w:lang w:val="en-AU"/>
        </w:rPr>
        <w:t xml:space="preserve"> </w:t>
      </w:r>
      <w:r w:rsidR="00D91A5F">
        <w:rPr>
          <w:rFonts w:ascii="Arial" w:hAnsi="Arial" w:cs="Arial"/>
          <w:sz w:val="24"/>
          <w:szCs w:val="24"/>
          <w:lang w:val="en-AU"/>
        </w:rPr>
        <w:t xml:space="preserve">There is also an earmarked Revenue Pressures Reserve which represented £23.6 million at the start of the financial year. </w:t>
      </w:r>
      <w:r w:rsidR="00836495">
        <w:rPr>
          <w:rFonts w:ascii="Arial" w:hAnsi="Arial" w:cs="Arial"/>
          <w:sz w:val="24"/>
          <w:szCs w:val="24"/>
          <w:lang w:val="en-AU"/>
        </w:rPr>
        <w:t xml:space="preserve"> </w:t>
      </w:r>
    </w:p>
    <w:p w14:paraId="08D05946" w14:textId="77777777" w:rsidR="00AE3E3A" w:rsidRPr="007D1413" w:rsidRDefault="00AE3E3A" w:rsidP="007D1413">
      <w:pPr>
        <w:spacing w:after="0" w:line="240" w:lineRule="auto"/>
        <w:ind w:left="720"/>
        <w:rPr>
          <w:rFonts w:ascii="Arial" w:hAnsi="Arial" w:cs="Arial"/>
          <w:sz w:val="24"/>
          <w:szCs w:val="24"/>
          <w:lang w:val="en-AU"/>
        </w:rPr>
      </w:pPr>
    </w:p>
    <w:p w14:paraId="30C94C32" w14:textId="2857ECC9" w:rsidR="00C77C17" w:rsidRDefault="063E03BA" w:rsidP="00040FC0">
      <w:pPr>
        <w:spacing w:after="0" w:line="240" w:lineRule="auto"/>
        <w:ind w:left="720"/>
        <w:rPr>
          <w:rFonts w:ascii="Arial" w:hAnsi="Arial" w:cs="Arial"/>
          <w:sz w:val="24"/>
          <w:szCs w:val="24"/>
          <w:lang w:val="en-AU"/>
        </w:rPr>
      </w:pPr>
      <w:r w:rsidRPr="028C766B">
        <w:rPr>
          <w:rFonts w:ascii="Arial" w:hAnsi="Arial" w:cs="Arial"/>
          <w:sz w:val="24"/>
          <w:szCs w:val="24"/>
          <w:lang w:val="en-AU"/>
        </w:rPr>
        <w:t xml:space="preserve">As noted above, steps are being taken via the PBB exercise to identify in year savings and transfer these to reserves where appropriate. </w:t>
      </w:r>
      <w:r w:rsidR="72815607" w:rsidRPr="028C766B">
        <w:rPr>
          <w:rFonts w:ascii="Arial" w:hAnsi="Arial" w:cs="Arial"/>
          <w:sz w:val="24"/>
          <w:szCs w:val="24"/>
          <w:lang w:val="en-AU"/>
        </w:rPr>
        <w:t xml:space="preserve">This has resulted in a proposed </w:t>
      </w:r>
      <w:r w:rsidR="2AFD680D" w:rsidRPr="028C766B">
        <w:rPr>
          <w:rFonts w:ascii="Arial" w:hAnsi="Arial" w:cs="Arial"/>
          <w:sz w:val="24"/>
          <w:szCs w:val="24"/>
          <w:lang w:val="en-AU"/>
        </w:rPr>
        <w:t xml:space="preserve">additional </w:t>
      </w:r>
      <w:r w:rsidR="72815607" w:rsidRPr="028C766B">
        <w:rPr>
          <w:rFonts w:ascii="Arial" w:hAnsi="Arial" w:cs="Arial"/>
          <w:sz w:val="24"/>
          <w:szCs w:val="24"/>
          <w:lang w:val="en-AU"/>
        </w:rPr>
        <w:t>£4.</w:t>
      </w:r>
      <w:r w:rsidR="00955F30">
        <w:rPr>
          <w:rFonts w:ascii="Arial" w:hAnsi="Arial" w:cs="Arial"/>
          <w:sz w:val="24"/>
          <w:szCs w:val="24"/>
          <w:lang w:val="en-AU"/>
        </w:rPr>
        <w:t>1</w:t>
      </w:r>
      <w:r w:rsidR="72815607" w:rsidRPr="028C766B">
        <w:rPr>
          <w:rFonts w:ascii="Arial" w:hAnsi="Arial" w:cs="Arial"/>
          <w:sz w:val="24"/>
          <w:szCs w:val="24"/>
          <w:lang w:val="en-AU"/>
        </w:rPr>
        <w:t>m transfer to reserves in year (</w:t>
      </w:r>
      <w:r w:rsidR="00836495">
        <w:rPr>
          <w:rFonts w:ascii="Arial" w:hAnsi="Arial" w:cs="Arial"/>
          <w:sz w:val="24"/>
          <w:szCs w:val="24"/>
          <w:lang w:val="en-AU"/>
        </w:rPr>
        <w:t>at</w:t>
      </w:r>
      <w:r w:rsidR="72815607" w:rsidRPr="028C766B">
        <w:rPr>
          <w:rFonts w:ascii="Arial" w:hAnsi="Arial" w:cs="Arial"/>
          <w:sz w:val="24"/>
          <w:szCs w:val="24"/>
          <w:lang w:val="en-AU"/>
        </w:rPr>
        <w:t xml:space="preserve"> end of </w:t>
      </w:r>
      <w:r w:rsidR="004E742F">
        <w:rPr>
          <w:rFonts w:ascii="Arial" w:hAnsi="Arial" w:cs="Arial"/>
          <w:sz w:val="24"/>
          <w:szCs w:val="24"/>
          <w:lang w:val="en-AU"/>
        </w:rPr>
        <w:t>August</w:t>
      </w:r>
      <w:r w:rsidR="72815607" w:rsidRPr="028C766B">
        <w:rPr>
          <w:rFonts w:ascii="Arial" w:hAnsi="Arial" w:cs="Arial"/>
          <w:sz w:val="24"/>
          <w:szCs w:val="24"/>
          <w:lang w:val="en-AU"/>
        </w:rPr>
        <w:t xml:space="preserve">). </w:t>
      </w:r>
      <w:r w:rsidR="24A9A26B" w:rsidRPr="028C766B">
        <w:rPr>
          <w:rFonts w:ascii="Arial" w:hAnsi="Arial" w:cs="Arial"/>
          <w:sz w:val="24"/>
          <w:szCs w:val="24"/>
          <w:lang w:val="en-AU"/>
        </w:rPr>
        <w:t xml:space="preserve">This, combined with prudent financial management, aims to keep the reserves at a sustainable level given the identified </w:t>
      </w:r>
      <w:r w:rsidR="128ED056" w:rsidRPr="028C766B">
        <w:rPr>
          <w:rFonts w:ascii="Arial" w:hAnsi="Arial" w:cs="Arial"/>
          <w:sz w:val="24"/>
          <w:szCs w:val="24"/>
          <w:lang w:val="en-AU"/>
        </w:rPr>
        <w:t xml:space="preserve">budget pressure </w:t>
      </w:r>
      <w:r w:rsidR="72815607" w:rsidRPr="028C766B">
        <w:rPr>
          <w:rFonts w:ascii="Arial" w:hAnsi="Arial" w:cs="Arial"/>
          <w:sz w:val="24"/>
          <w:szCs w:val="24"/>
          <w:lang w:val="en-AU"/>
        </w:rPr>
        <w:t>across the MTFF period.</w:t>
      </w:r>
    </w:p>
    <w:p w14:paraId="5C131DE1" w14:textId="0E833EBA" w:rsidR="00F213D0" w:rsidRPr="007D1413" w:rsidRDefault="00F213D0" w:rsidP="007D1413">
      <w:pPr>
        <w:spacing w:after="0" w:line="240" w:lineRule="auto"/>
        <w:ind w:left="720"/>
        <w:rPr>
          <w:rFonts w:ascii="Arial" w:hAnsi="Arial" w:cs="Arial"/>
          <w:sz w:val="24"/>
          <w:szCs w:val="24"/>
          <w:lang w:val="en-AU"/>
        </w:rPr>
      </w:pPr>
    </w:p>
    <w:p w14:paraId="3DE37D30" w14:textId="7FA98794" w:rsidR="001C085E" w:rsidRPr="007D1413" w:rsidRDefault="001C085E" w:rsidP="007D1413">
      <w:pPr>
        <w:pStyle w:val="ListParagraph"/>
        <w:numPr>
          <w:ilvl w:val="0"/>
          <w:numId w:val="34"/>
        </w:numPr>
        <w:spacing w:after="0" w:line="240" w:lineRule="auto"/>
        <w:rPr>
          <w:rFonts w:ascii="Arial" w:hAnsi="Arial" w:cs="Arial"/>
          <w:b/>
          <w:bCs/>
          <w:sz w:val="24"/>
          <w:szCs w:val="24"/>
          <w:lang w:val="en-AU"/>
        </w:rPr>
      </w:pPr>
      <w:r w:rsidRPr="007D1413">
        <w:rPr>
          <w:rFonts w:ascii="Arial" w:hAnsi="Arial" w:cs="Arial"/>
          <w:b/>
          <w:bCs/>
          <w:sz w:val="24"/>
          <w:szCs w:val="24"/>
          <w:lang w:val="en-AU"/>
        </w:rPr>
        <w:t>Initiate the 2026/27 precept consultation as early as can be achieved following the government announcement of the precept figure, providing an extended timeframe and continuing to aim for wider engagement from all community sectors</w:t>
      </w:r>
    </w:p>
    <w:p w14:paraId="66914BDA" w14:textId="77777777" w:rsidR="00037749" w:rsidRDefault="00037749" w:rsidP="00037749">
      <w:pPr>
        <w:spacing w:after="0" w:line="276" w:lineRule="auto"/>
        <w:ind w:left="720"/>
        <w:contextualSpacing/>
        <w:rPr>
          <w:rFonts w:ascii="Arial" w:eastAsia="MS PGothic" w:hAnsi="Arial" w:cs="Arial"/>
        </w:rPr>
      </w:pPr>
    </w:p>
    <w:p w14:paraId="1C21D617" w14:textId="35E812BA" w:rsidR="003213A7" w:rsidRPr="007D1413" w:rsidRDefault="008D04B4" w:rsidP="007D1413">
      <w:pPr>
        <w:spacing w:after="0" w:line="240" w:lineRule="auto"/>
        <w:ind w:left="720"/>
        <w:rPr>
          <w:rFonts w:ascii="Arial" w:hAnsi="Arial" w:cs="Arial"/>
          <w:sz w:val="24"/>
          <w:szCs w:val="24"/>
          <w:lang w:val="en-AU"/>
        </w:rPr>
      </w:pPr>
      <w:r w:rsidRPr="028C766B">
        <w:rPr>
          <w:rFonts w:ascii="Arial" w:hAnsi="Arial" w:cs="Arial"/>
          <w:sz w:val="24"/>
          <w:szCs w:val="24"/>
          <w:lang w:val="en-AU"/>
        </w:rPr>
        <w:t xml:space="preserve">A separate paper on the </w:t>
      </w:r>
      <w:r w:rsidR="00CF01DE" w:rsidRPr="028C766B">
        <w:rPr>
          <w:rFonts w:ascii="Arial" w:hAnsi="Arial" w:cs="Arial"/>
          <w:sz w:val="24"/>
          <w:szCs w:val="24"/>
          <w:lang w:val="en-AU"/>
        </w:rPr>
        <w:t>process for precept consultation is being drafted and will be shared with the Police and Crime Panel in due course.</w:t>
      </w:r>
    </w:p>
    <w:p w14:paraId="500C5204" w14:textId="77777777" w:rsidR="00CC79B2" w:rsidRDefault="00CC79B2" w:rsidP="004835F1">
      <w:pPr>
        <w:spacing w:after="0" w:line="240" w:lineRule="auto"/>
        <w:rPr>
          <w:rFonts w:ascii="Arial" w:hAnsi="Arial" w:cs="Arial"/>
          <w:sz w:val="24"/>
          <w:szCs w:val="24"/>
        </w:rPr>
      </w:pPr>
    </w:p>
    <w:p w14:paraId="1032A2A9" w14:textId="085DF9A4" w:rsidR="004D3344" w:rsidRPr="00CC79B2" w:rsidRDefault="00CC79B2" w:rsidP="00CC79B2">
      <w:pPr>
        <w:spacing w:after="0" w:line="240" w:lineRule="auto"/>
        <w:rPr>
          <w:rFonts w:ascii="Arial" w:hAnsi="Arial" w:cs="Arial"/>
          <w:b/>
          <w:bCs/>
          <w:sz w:val="24"/>
          <w:szCs w:val="24"/>
        </w:rPr>
      </w:pPr>
      <w:r>
        <w:rPr>
          <w:rFonts w:ascii="Arial" w:hAnsi="Arial" w:cs="Arial"/>
          <w:b/>
          <w:bCs/>
          <w:sz w:val="24"/>
          <w:szCs w:val="24"/>
        </w:rPr>
        <w:t>5</w:t>
      </w:r>
      <w:r>
        <w:rPr>
          <w:rFonts w:ascii="Arial" w:hAnsi="Arial" w:cs="Arial"/>
          <w:b/>
          <w:bCs/>
          <w:sz w:val="24"/>
          <w:szCs w:val="24"/>
        </w:rPr>
        <w:tab/>
      </w:r>
      <w:r w:rsidR="004D3344" w:rsidRPr="00CC79B2">
        <w:rPr>
          <w:rFonts w:ascii="Arial" w:hAnsi="Arial" w:cs="Arial"/>
          <w:b/>
          <w:bCs/>
          <w:sz w:val="24"/>
          <w:szCs w:val="24"/>
        </w:rPr>
        <w:t xml:space="preserve">EQUALITY, DIVERSITY AND INCLUSION BENEFITS AND IMPLICATIONS </w:t>
      </w:r>
    </w:p>
    <w:p w14:paraId="1BED0016" w14:textId="77777777" w:rsidR="00CC79B2" w:rsidRDefault="00CC79B2" w:rsidP="004D3344">
      <w:pPr>
        <w:spacing w:after="0" w:line="240" w:lineRule="auto"/>
        <w:ind w:left="720"/>
        <w:rPr>
          <w:rFonts w:ascii="Arial" w:hAnsi="Arial" w:cs="Arial"/>
          <w:sz w:val="24"/>
          <w:szCs w:val="24"/>
        </w:rPr>
      </w:pPr>
    </w:p>
    <w:p w14:paraId="653F7B24" w14:textId="5494B447" w:rsidR="004835F1" w:rsidRDefault="0094647B" w:rsidP="0094647B">
      <w:pPr>
        <w:spacing w:after="0" w:line="240" w:lineRule="auto"/>
        <w:ind w:left="720" w:hanging="720"/>
        <w:rPr>
          <w:rFonts w:ascii="Arial" w:hAnsi="Arial" w:cs="Arial"/>
          <w:sz w:val="24"/>
          <w:szCs w:val="24"/>
        </w:rPr>
      </w:pPr>
      <w:r>
        <w:rPr>
          <w:rFonts w:ascii="Arial" w:hAnsi="Arial" w:cs="Arial"/>
          <w:sz w:val="24"/>
          <w:szCs w:val="24"/>
        </w:rPr>
        <w:lastRenderedPageBreak/>
        <w:t>5.1</w:t>
      </w:r>
      <w:r>
        <w:rPr>
          <w:rFonts w:ascii="Arial" w:hAnsi="Arial" w:cs="Arial"/>
          <w:sz w:val="24"/>
          <w:szCs w:val="24"/>
        </w:rPr>
        <w:tab/>
      </w:r>
      <w:r w:rsidR="004D3344" w:rsidRPr="004D3344">
        <w:rPr>
          <w:rFonts w:ascii="Arial" w:hAnsi="Arial" w:cs="Arial"/>
          <w:sz w:val="24"/>
          <w:szCs w:val="24"/>
        </w:rPr>
        <w:t>West Yorkshire Police has a clearly stated commitment to diversity, equality and inclusion in all aspects of its operations, including those funded through the budget considered in this paper.</w:t>
      </w:r>
    </w:p>
    <w:p w14:paraId="361EF523" w14:textId="77777777" w:rsidR="00F813CB" w:rsidRDefault="00F813CB" w:rsidP="00F813CB">
      <w:pPr>
        <w:spacing w:after="0" w:line="240" w:lineRule="auto"/>
        <w:rPr>
          <w:rFonts w:ascii="Arial" w:hAnsi="Arial" w:cs="Arial"/>
          <w:sz w:val="24"/>
          <w:szCs w:val="24"/>
        </w:rPr>
      </w:pPr>
    </w:p>
    <w:p w14:paraId="4EB3CDFB" w14:textId="4DEC96B2" w:rsidR="00F813CB" w:rsidRDefault="00F813CB" w:rsidP="00F813CB">
      <w:pPr>
        <w:spacing w:after="0" w:line="240" w:lineRule="auto"/>
        <w:rPr>
          <w:rFonts w:ascii="Arial" w:hAnsi="Arial" w:cs="Arial"/>
          <w:sz w:val="24"/>
          <w:szCs w:val="24"/>
        </w:rPr>
      </w:pPr>
      <w:r w:rsidRPr="00F813CB">
        <w:rPr>
          <w:rFonts w:ascii="Arial" w:hAnsi="Arial" w:cs="Arial"/>
          <w:b/>
          <w:bCs/>
          <w:sz w:val="24"/>
          <w:szCs w:val="24"/>
        </w:rPr>
        <w:t>6</w:t>
      </w:r>
      <w:r>
        <w:rPr>
          <w:rFonts w:ascii="Arial" w:hAnsi="Arial" w:cs="Arial"/>
          <w:sz w:val="24"/>
          <w:szCs w:val="24"/>
        </w:rPr>
        <w:tab/>
      </w:r>
      <w:r w:rsidRPr="00F813CB">
        <w:rPr>
          <w:rFonts w:ascii="Arial" w:hAnsi="Arial" w:cs="Arial"/>
          <w:b/>
          <w:bCs/>
          <w:sz w:val="24"/>
          <w:szCs w:val="24"/>
        </w:rPr>
        <w:t>LEGAL IMPLICATIONS</w:t>
      </w:r>
      <w:r w:rsidRPr="00F813CB">
        <w:rPr>
          <w:rFonts w:ascii="Arial" w:hAnsi="Arial" w:cs="Arial"/>
          <w:sz w:val="24"/>
          <w:szCs w:val="24"/>
        </w:rPr>
        <w:t xml:space="preserve"> </w:t>
      </w:r>
    </w:p>
    <w:p w14:paraId="771621E6" w14:textId="77777777" w:rsidR="00F813CB" w:rsidRDefault="00F813CB" w:rsidP="00F813CB">
      <w:pPr>
        <w:spacing w:after="0" w:line="240" w:lineRule="auto"/>
        <w:rPr>
          <w:rFonts w:ascii="Arial" w:hAnsi="Arial" w:cs="Arial"/>
          <w:sz w:val="24"/>
          <w:szCs w:val="24"/>
        </w:rPr>
      </w:pPr>
    </w:p>
    <w:p w14:paraId="5C1B00A7" w14:textId="086ADDF9" w:rsidR="00F813CB" w:rsidRDefault="009E0632" w:rsidP="009E0632">
      <w:pPr>
        <w:spacing w:after="0" w:line="240" w:lineRule="auto"/>
        <w:rPr>
          <w:rFonts w:ascii="Arial" w:hAnsi="Arial" w:cs="Arial"/>
          <w:sz w:val="24"/>
          <w:szCs w:val="24"/>
        </w:rPr>
      </w:pPr>
      <w:r>
        <w:rPr>
          <w:rFonts w:ascii="Arial" w:hAnsi="Arial" w:cs="Arial"/>
          <w:sz w:val="24"/>
          <w:szCs w:val="24"/>
        </w:rPr>
        <w:t>6.1</w:t>
      </w:r>
      <w:r>
        <w:rPr>
          <w:rFonts w:ascii="Arial" w:hAnsi="Arial" w:cs="Arial"/>
          <w:sz w:val="24"/>
          <w:szCs w:val="24"/>
        </w:rPr>
        <w:tab/>
      </w:r>
      <w:r w:rsidR="00F813CB" w:rsidRPr="00F813CB">
        <w:rPr>
          <w:rFonts w:ascii="Arial" w:hAnsi="Arial" w:cs="Arial"/>
          <w:sz w:val="24"/>
          <w:szCs w:val="24"/>
        </w:rPr>
        <w:t>None arising directly from this report.</w:t>
      </w:r>
    </w:p>
    <w:p w14:paraId="750C2F56" w14:textId="77777777" w:rsidR="00E97699" w:rsidRDefault="00E97699" w:rsidP="00F813CB">
      <w:pPr>
        <w:spacing w:after="0" w:line="240" w:lineRule="auto"/>
        <w:ind w:firstLine="720"/>
        <w:rPr>
          <w:rFonts w:ascii="Arial" w:hAnsi="Arial" w:cs="Arial"/>
          <w:sz w:val="24"/>
          <w:szCs w:val="24"/>
        </w:rPr>
      </w:pPr>
    </w:p>
    <w:p w14:paraId="1E530E98" w14:textId="61BDEAFB" w:rsidR="00FD6DD6" w:rsidRDefault="00FD6DD6" w:rsidP="00FD6DD6">
      <w:pPr>
        <w:spacing w:after="0" w:line="240" w:lineRule="auto"/>
        <w:rPr>
          <w:rFonts w:ascii="Arial" w:hAnsi="Arial" w:cs="Arial"/>
          <w:b/>
          <w:bCs/>
          <w:sz w:val="24"/>
          <w:szCs w:val="24"/>
        </w:rPr>
      </w:pPr>
      <w:r w:rsidRPr="028C766B">
        <w:rPr>
          <w:rFonts w:ascii="Arial" w:hAnsi="Arial" w:cs="Arial"/>
          <w:b/>
          <w:bCs/>
          <w:sz w:val="24"/>
          <w:szCs w:val="24"/>
        </w:rPr>
        <w:t>7</w:t>
      </w:r>
      <w:r>
        <w:tab/>
      </w:r>
      <w:r w:rsidRPr="028C766B">
        <w:rPr>
          <w:rFonts w:ascii="Arial" w:hAnsi="Arial" w:cs="Arial"/>
          <w:b/>
          <w:bCs/>
          <w:sz w:val="24"/>
          <w:szCs w:val="24"/>
        </w:rPr>
        <w:t xml:space="preserve">EXTERNAL </w:t>
      </w:r>
      <w:proofErr w:type="gramStart"/>
      <w:r w:rsidRPr="028C766B">
        <w:rPr>
          <w:rFonts w:ascii="Arial" w:hAnsi="Arial" w:cs="Arial"/>
          <w:b/>
          <w:bCs/>
          <w:sz w:val="24"/>
          <w:szCs w:val="24"/>
        </w:rPr>
        <w:t>CONSULTATION</w:t>
      </w:r>
      <w:proofErr w:type="gramEnd"/>
    </w:p>
    <w:p w14:paraId="6A1045D9" w14:textId="77777777" w:rsidR="00CF01DE" w:rsidRDefault="00CF01DE" w:rsidP="00FD6DD6">
      <w:pPr>
        <w:spacing w:after="0" w:line="240" w:lineRule="auto"/>
        <w:rPr>
          <w:rFonts w:ascii="Arial" w:hAnsi="Arial" w:cs="Arial"/>
          <w:b/>
          <w:bCs/>
          <w:sz w:val="24"/>
          <w:szCs w:val="24"/>
        </w:rPr>
      </w:pPr>
    </w:p>
    <w:p w14:paraId="3851202C" w14:textId="1713D549" w:rsidR="00CF01DE" w:rsidRDefault="00CF01DE" w:rsidP="007D1413">
      <w:pPr>
        <w:spacing w:after="0" w:line="240" w:lineRule="auto"/>
        <w:ind w:left="720" w:hanging="720"/>
        <w:rPr>
          <w:rFonts w:ascii="Arial" w:hAnsi="Arial" w:cs="Arial"/>
          <w:sz w:val="24"/>
          <w:szCs w:val="24"/>
        </w:rPr>
      </w:pPr>
      <w:r w:rsidRPr="028C766B">
        <w:rPr>
          <w:rFonts w:ascii="Arial" w:hAnsi="Arial" w:cs="Arial"/>
          <w:sz w:val="24"/>
          <w:szCs w:val="24"/>
        </w:rPr>
        <w:t>7.1</w:t>
      </w:r>
      <w:r>
        <w:tab/>
      </w:r>
      <w:r w:rsidRPr="028C766B">
        <w:rPr>
          <w:rFonts w:ascii="Arial" w:hAnsi="Arial" w:cs="Arial"/>
          <w:sz w:val="24"/>
          <w:szCs w:val="24"/>
        </w:rPr>
        <w:t xml:space="preserve">A separate paper on the process for precept consultation is being drafted and will be shared with the Police and Crime Panel in due </w:t>
      </w:r>
      <w:r w:rsidR="00F87D19" w:rsidRPr="028C766B">
        <w:rPr>
          <w:rFonts w:ascii="Arial" w:hAnsi="Arial" w:cs="Arial"/>
          <w:sz w:val="24"/>
          <w:szCs w:val="24"/>
        </w:rPr>
        <w:t>course.</w:t>
      </w:r>
    </w:p>
    <w:p w14:paraId="47DDDC91" w14:textId="034DA9C6" w:rsidR="00B45424" w:rsidRDefault="00B45424" w:rsidP="028C766B">
      <w:pPr>
        <w:spacing w:after="0" w:line="240" w:lineRule="auto"/>
        <w:rPr>
          <w:rFonts w:ascii="Arial" w:hAnsi="Arial" w:cs="Arial"/>
          <w:b/>
          <w:bCs/>
          <w:sz w:val="24"/>
          <w:szCs w:val="24"/>
        </w:rPr>
      </w:pPr>
    </w:p>
    <w:p w14:paraId="512FCC72" w14:textId="56D42A9E" w:rsidR="00B45424" w:rsidRDefault="00475F7B" w:rsidP="00475F7B">
      <w:pPr>
        <w:spacing w:after="0" w:line="240" w:lineRule="auto"/>
        <w:rPr>
          <w:rFonts w:ascii="Arial" w:hAnsi="Arial" w:cs="Arial"/>
          <w:b/>
          <w:bCs/>
          <w:sz w:val="24"/>
          <w:szCs w:val="24"/>
        </w:rPr>
      </w:pPr>
      <w:r w:rsidRPr="00B4749D">
        <w:rPr>
          <w:rFonts w:ascii="Arial" w:hAnsi="Arial" w:cs="Arial"/>
          <w:b/>
          <w:bCs/>
          <w:sz w:val="24"/>
          <w:szCs w:val="24"/>
        </w:rPr>
        <w:t>8.</w:t>
      </w:r>
      <w:r>
        <w:rPr>
          <w:rFonts w:ascii="Arial" w:hAnsi="Arial" w:cs="Arial"/>
          <w:sz w:val="24"/>
          <w:szCs w:val="24"/>
        </w:rPr>
        <w:tab/>
      </w:r>
      <w:r w:rsidRPr="00475F7B">
        <w:rPr>
          <w:rFonts w:ascii="Arial" w:hAnsi="Arial" w:cs="Arial"/>
          <w:b/>
          <w:bCs/>
          <w:sz w:val="24"/>
          <w:szCs w:val="24"/>
        </w:rPr>
        <w:t>RECOMMENDATIONS</w:t>
      </w:r>
    </w:p>
    <w:p w14:paraId="2F63C6AD" w14:textId="77777777" w:rsidR="00475F7B" w:rsidRDefault="00475F7B" w:rsidP="00475F7B">
      <w:pPr>
        <w:spacing w:after="0" w:line="240" w:lineRule="auto"/>
        <w:rPr>
          <w:rFonts w:ascii="Arial" w:hAnsi="Arial" w:cs="Arial"/>
          <w:b/>
          <w:bCs/>
          <w:sz w:val="24"/>
          <w:szCs w:val="24"/>
        </w:rPr>
      </w:pPr>
    </w:p>
    <w:p w14:paraId="5225959C" w14:textId="2DD626D7" w:rsidR="00475F7B" w:rsidRPr="003213A7" w:rsidRDefault="00B4749D" w:rsidP="00B4749D">
      <w:pPr>
        <w:spacing w:after="0" w:line="240" w:lineRule="auto"/>
        <w:ind w:left="709" w:hanging="709"/>
        <w:rPr>
          <w:rFonts w:ascii="Arial" w:hAnsi="Arial" w:cs="Arial"/>
          <w:sz w:val="24"/>
          <w:szCs w:val="24"/>
        </w:rPr>
      </w:pPr>
      <w:r>
        <w:rPr>
          <w:rFonts w:ascii="Arial" w:hAnsi="Arial" w:cs="Arial"/>
          <w:sz w:val="24"/>
          <w:szCs w:val="24"/>
        </w:rPr>
        <w:t>8.1</w:t>
      </w:r>
      <w:r>
        <w:rPr>
          <w:rFonts w:ascii="Arial" w:hAnsi="Arial" w:cs="Arial"/>
          <w:sz w:val="24"/>
          <w:szCs w:val="24"/>
        </w:rPr>
        <w:tab/>
      </w:r>
      <w:r w:rsidR="009C6E8B" w:rsidRPr="009C6E8B">
        <w:rPr>
          <w:rFonts w:ascii="Arial" w:hAnsi="Arial" w:cs="Arial"/>
          <w:sz w:val="24"/>
          <w:szCs w:val="24"/>
        </w:rPr>
        <w:t>That Panel members consider the information provided on the position of the 202</w:t>
      </w:r>
      <w:r w:rsidR="000B7280">
        <w:rPr>
          <w:rFonts w:ascii="Arial" w:hAnsi="Arial" w:cs="Arial"/>
          <w:sz w:val="24"/>
          <w:szCs w:val="24"/>
        </w:rPr>
        <w:t>6</w:t>
      </w:r>
      <w:r w:rsidR="009C6E8B" w:rsidRPr="009C6E8B">
        <w:rPr>
          <w:rFonts w:ascii="Arial" w:hAnsi="Arial" w:cs="Arial"/>
          <w:sz w:val="24"/>
          <w:szCs w:val="24"/>
        </w:rPr>
        <w:t>/2</w:t>
      </w:r>
      <w:r w:rsidR="000B7280">
        <w:rPr>
          <w:rFonts w:ascii="Arial" w:hAnsi="Arial" w:cs="Arial"/>
          <w:sz w:val="24"/>
          <w:szCs w:val="24"/>
        </w:rPr>
        <w:t>7</w:t>
      </w:r>
      <w:r w:rsidR="009C6E8B" w:rsidRPr="009C6E8B">
        <w:rPr>
          <w:rFonts w:ascii="Arial" w:hAnsi="Arial" w:cs="Arial"/>
          <w:sz w:val="24"/>
          <w:szCs w:val="24"/>
        </w:rPr>
        <w:t xml:space="preserve"> budget, the current planning for the Medium-Term Financial Forecast and other matters that are likely to impact on police funding for West Yorkshire.</w:t>
      </w:r>
    </w:p>
    <w:p w14:paraId="425E5C23" w14:textId="70DA78B6" w:rsidR="004C5CFF" w:rsidRPr="004C5CFF" w:rsidRDefault="004C5CFF" w:rsidP="00411614">
      <w:pPr>
        <w:spacing w:after="0" w:line="240" w:lineRule="auto"/>
        <w:rPr>
          <w:rFonts w:ascii="Arial" w:hAnsi="Arial" w:cs="Arial"/>
          <w:b/>
          <w:bCs/>
          <w:sz w:val="24"/>
          <w:szCs w:val="24"/>
        </w:rPr>
      </w:pPr>
    </w:p>
    <w:p w14:paraId="6BAFE117" w14:textId="77777777" w:rsidR="00182EDC" w:rsidRPr="00F1040C" w:rsidRDefault="00182EDC" w:rsidP="00F1040C">
      <w:pPr>
        <w:spacing w:after="0" w:line="240" w:lineRule="auto"/>
        <w:ind w:left="720"/>
        <w:rPr>
          <w:rFonts w:ascii="Arial" w:hAnsi="Arial" w:cs="Arial"/>
          <w:sz w:val="24"/>
          <w:szCs w:val="24"/>
        </w:rPr>
      </w:pPr>
    </w:p>
    <w:p w14:paraId="5B8DA818" w14:textId="4830021A" w:rsidR="004335DD" w:rsidRDefault="002360E7" w:rsidP="002360E7">
      <w:pPr>
        <w:spacing w:after="0" w:line="240" w:lineRule="auto"/>
        <w:rPr>
          <w:rFonts w:ascii="Arial" w:hAnsi="Arial" w:cs="Arial"/>
          <w:b/>
          <w:bCs/>
          <w:sz w:val="24"/>
          <w:szCs w:val="24"/>
        </w:rPr>
      </w:pPr>
      <w:r w:rsidRPr="002360E7">
        <w:rPr>
          <w:rFonts w:ascii="Arial" w:hAnsi="Arial" w:cs="Arial"/>
          <w:b/>
          <w:bCs/>
          <w:sz w:val="24"/>
          <w:szCs w:val="24"/>
        </w:rPr>
        <w:t>BACKGROUND PAPERS AND APPENDICES</w:t>
      </w:r>
    </w:p>
    <w:p w14:paraId="68260A53" w14:textId="77777777" w:rsidR="002360E7" w:rsidRDefault="002360E7" w:rsidP="002360E7">
      <w:pPr>
        <w:spacing w:after="0" w:line="240" w:lineRule="auto"/>
        <w:rPr>
          <w:rFonts w:ascii="Arial" w:hAnsi="Arial" w:cs="Arial"/>
          <w:b/>
          <w:bCs/>
          <w:sz w:val="24"/>
          <w:szCs w:val="24"/>
        </w:rPr>
      </w:pPr>
    </w:p>
    <w:p w14:paraId="596A2E21" w14:textId="3CCA096B" w:rsidR="00793C18" w:rsidRPr="00793C18" w:rsidRDefault="00793C18" w:rsidP="002360E7">
      <w:pPr>
        <w:spacing w:after="0" w:line="240" w:lineRule="auto"/>
        <w:rPr>
          <w:rFonts w:ascii="Arial" w:hAnsi="Arial" w:cs="Arial"/>
          <w:sz w:val="24"/>
          <w:szCs w:val="24"/>
        </w:rPr>
      </w:pPr>
      <w:r w:rsidRPr="00793C18">
        <w:rPr>
          <w:rFonts w:ascii="Arial" w:hAnsi="Arial" w:cs="Arial"/>
          <w:sz w:val="24"/>
          <w:szCs w:val="24"/>
        </w:rPr>
        <w:t>Appendix A – Medium-Term Financial Forecast 202</w:t>
      </w:r>
      <w:r w:rsidR="000B7280">
        <w:rPr>
          <w:rFonts w:ascii="Arial" w:hAnsi="Arial" w:cs="Arial"/>
          <w:sz w:val="24"/>
          <w:szCs w:val="24"/>
        </w:rPr>
        <w:t>6</w:t>
      </w:r>
      <w:r w:rsidRPr="00793C18">
        <w:rPr>
          <w:rFonts w:ascii="Arial" w:hAnsi="Arial" w:cs="Arial"/>
          <w:sz w:val="24"/>
          <w:szCs w:val="24"/>
        </w:rPr>
        <w:t>/2</w:t>
      </w:r>
      <w:r w:rsidR="000B7280">
        <w:rPr>
          <w:rFonts w:ascii="Arial" w:hAnsi="Arial" w:cs="Arial"/>
          <w:sz w:val="24"/>
          <w:szCs w:val="24"/>
        </w:rPr>
        <w:t>7</w:t>
      </w:r>
      <w:r w:rsidRPr="00793C18">
        <w:rPr>
          <w:rFonts w:ascii="Arial" w:hAnsi="Arial" w:cs="Arial"/>
          <w:sz w:val="24"/>
          <w:szCs w:val="24"/>
        </w:rPr>
        <w:t xml:space="preserve"> to 202</w:t>
      </w:r>
      <w:r w:rsidR="000B7280">
        <w:rPr>
          <w:rFonts w:ascii="Arial" w:hAnsi="Arial" w:cs="Arial"/>
          <w:sz w:val="24"/>
          <w:szCs w:val="24"/>
        </w:rPr>
        <w:t>8</w:t>
      </w:r>
      <w:r w:rsidRPr="00793C18">
        <w:rPr>
          <w:rFonts w:ascii="Arial" w:hAnsi="Arial" w:cs="Arial"/>
          <w:sz w:val="24"/>
          <w:szCs w:val="24"/>
        </w:rPr>
        <w:t>/2</w:t>
      </w:r>
      <w:r w:rsidR="000B7280">
        <w:rPr>
          <w:rFonts w:ascii="Arial" w:hAnsi="Arial" w:cs="Arial"/>
          <w:sz w:val="24"/>
          <w:szCs w:val="24"/>
        </w:rPr>
        <w:t>9</w:t>
      </w:r>
    </w:p>
    <w:p w14:paraId="1E0C7829" w14:textId="77777777" w:rsidR="00793C18" w:rsidRPr="00793C18" w:rsidRDefault="00793C18" w:rsidP="002360E7">
      <w:pPr>
        <w:spacing w:after="0" w:line="240" w:lineRule="auto"/>
        <w:rPr>
          <w:rFonts w:ascii="Arial" w:hAnsi="Arial" w:cs="Arial"/>
          <w:sz w:val="24"/>
          <w:szCs w:val="24"/>
        </w:rPr>
      </w:pPr>
    </w:p>
    <w:p w14:paraId="3393B845" w14:textId="0E388FF0" w:rsidR="00793C18" w:rsidRDefault="00793C18" w:rsidP="002360E7">
      <w:pPr>
        <w:spacing w:after="0" w:line="240" w:lineRule="auto"/>
        <w:rPr>
          <w:rFonts w:ascii="Arial" w:hAnsi="Arial" w:cs="Arial"/>
          <w:sz w:val="24"/>
          <w:szCs w:val="24"/>
        </w:rPr>
      </w:pPr>
      <w:r w:rsidRPr="00B4749D">
        <w:rPr>
          <w:rFonts w:ascii="Arial" w:hAnsi="Arial" w:cs="Arial"/>
          <w:sz w:val="24"/>
          <w:szCs w:val="24"/>
        </w:rPr>
        <w:t xml:space="preserve">Appendix </w:t>
      </w:r>
      <w:r w:rsidR="00B4749D" w:rsidRPr="00B4749D">
        <w:rPr>
          <w:rFonts w:ascii="Arial" w:hAnsi="Arial" w:cs="Arial"/>
          <w:sz w:val="24"/>
          <w:szCs w:val="24"/>
        </w:rPr>
        <w:t>B</w:t>
      </w:r>
      <w:r w:rsidRPr="00B4749D">
        <w:rPr>
          <w:rFonts w:ascii="Arial" w:hAnsi="Arial" w:cs="Arial"/>
          <w:sz w:val="24"/>
          <w:szCs w:val="24"/>
        </w:rPr>
        <w:t xml:space="preserve"> </w:t>
      </w:r>
      <w:r w:rsidR="00DF6313" w:rsidRPr="00B4749D">
        <w:rPr>
          <w:rFonts w:ascii="Arial" w:hAnsi="Arial" w:cs="Arial"/>
          <w:sz w:val="24"/>
          <w:szCs w:val="24"/>
        </w:rPr>
        <w:t>–</w:t>
      </w:r>
      <w:r w:rsidRPr="00B4749D">
        <w:rPr>
          <w:rFonts w:ascii="Arial" w:hAnsi="Arial" w:cs="Arial"/>
          <w:sz w:val="24"/>
          <w:szCs w:val="24"/>
        </w:rPr>
        <w:t xml:space="preserve"> </w:t>
      </w:r>
      <w:r w:rsidR="00DF6313" w:rsidRPr="00B4749D">
        <w:rPr>
          <w:rFonts w:ascii="Arial" w:hAnsi="Arial" w:cs="Arial"/>
          <w:sz w:val="24"/>
          <w:szCs w:val="24"/>
        </w:rPr>
        <w:t>Priority</w:t>
      </w:r>
      <w:r w:rsidR="00DF6313">
        <w:rPr>
          <w:rFonts w:ascii="Arial" w:hAnsi="Arial" w:cs="Arial"/>
          <w:sz w:val="24"/>
          <w:szCs w:val="24"/>
        </w:rPr>
        <w:t xml:space="preserve"> Based Budgeting </w:t>
      </w:r>
      <w:r w:rsidR="00CB7EB9">
        <w:rPr>
          <w:rFonts w:ascii="Arial" w:hAnsi="Arial" w:cs="Arial"/>
          <w:sz w:val="24"/>
          <w:szCs w:val="24"/>
        </w:rPr>
        <w:t>Briefing Paper</w:t>
      </w:r>
    </w:p>
    <w:p w14:paraId="5465E263" w14:textId="77777777" w:rsidR="00161320" w:rsidRDefault="00161320" w:rsidP="002360E7">
      <w:pPr>
        <w:spacing w:after="0" w:line="240" w:lineRule="auto"/>
        <w:rPr>
          <w:rFonts w:ascii="Arial" w:hAnsi="Arial" w:cs="Arial"/>
          <w:sz w:val="24"/>
          <w:szCs w:val="24"/>
        </w:rPr>
      </w:pPr>
    </w:p>
    <w:p w14:paraId="0D710A5D" w14:textId="6756AD25" w:rsidR="00161320" w:rsidRPr="00793C18" w:rsidRDefault="00161320" w:rsidP="002360E7">
      <w:pPr>
        <w:spacing w:after="0" w:line="240" w:lineRule="auto"/>
        <w:rPr>
          <w:rFonts w:ascii="Arial" w:hAnsi="Arial" w:cs="Arial"/>
          <w:sz w:val="24"/>
          <w:szCs w:val="24"/>
        </w:rPr>
      </w:pPr>
      <w:r>
        <w:rPr>
          <w:rFonts w:ascii="Arial" w:hAnsi="Arial" w:cs="Arial"/>
          <w:sz w:val="24"/>
          <w:szCs w:val="24"/>
        </w:rPr>
        <w:t xml:space="preserve">Appendix C </w:t>
      </w:r>
      <w:r w:rsidR="00BB53B4">
        <w:rPr>
          <w:rFonts w:ascii="Arial" w:hAnsi="Arial" w:cs="Arial"/>
          <w:sz w:val="24"/>
          <w:szCs w:val="24"/>
        </w:rPr>
        <w:t>–</w:t>
      </w:r>
      <w:r>
        <w:rPr>
          <w:rFonts w:ascii="Arial" w:hAnsi="Arial" w:cs="Arial"/>
          <w:sz w:val="24"/>
          <w:szCs w:val="24"/>
        </w:rPr>
        <w:t xml:space="preserve"> </w:t>
      </w:r>
      <w:r w:rsidR="00751DD5" w:rsidRPr="00751DD5">
        <w:rPr>
          <w:rFonts w:ascii="Arial" w:hAnsi="Arial" w:cs="Arial"/>
          <w:sz w:val="24"/>
          <w:szCs w:val="24"/>
        </w:rPr>
        <w:t xml:space="preserve">MTFF </w:t>
      </w:r>
      <w:r w:rsidR="000776D8">
        <w:rPr>
          <w:rFonts w:ascii="Arial" w:hAnsi="Arial" w:cs="Arial"/>
          <w:sz w:val="24"/>
          <w:szCs w:val="24"/>
        </w:rPr>
        <w:t>Revenue Reconciliation</w:t>
      </w:r>
      <w:r w:rsidR="00751DD5" w:rsidRPr="00751DD5">
        <w:rPr>
          <w:rFonts w:ascii="Arial" w:hAnsi="Arial" w:cs="Arial"/>
          <w:sz w:val="24"/>
          <w:szCs w:val="24"/>
        </w:rPr>
        <w:t>: February 2025 Budget Setting and Current Status</w:t>
      </w:r>
    </w:p>
    <w:sectPr w:rsidR="00161320" w:rsidRPr="00793C18" w:rsidSect="00813B66">
      <w:headerReference w:type="default" r:id="rId12"/>
      <w:footerReference w:type="default" r:id="rId13"/>
      <w:pgSz w:w="11906" w:h="16838"/>
      <w:pgMar w:top="1440" w:right="1080" w:bottom="1440" w:left="1080"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7D5B2" w14:textId="77777777" w:rsidR="004320A9" w:rsidRDefault="004320A9" w:rsidP="00EC1C2C">
      <w:pPr>
        <w:spacing w:after="0" w:line="240" w:lineRule="auto"/>
      </w:pPr>
      <w:r>
        <w:separator/>
      </w:r>
    </w:p>
  </w:endnote>
  <w:endnote w:type="continuationSeparator" w:id="0">
    <w:p w14:paraId="43775800" w14:textId="77777777" w:rsidR="004320A9" w:rsidRDefault="004320A9" w:rsidP="00EC1C2C">
      <w:pPr>
        <w:spacing w:after="0" w:line="240" w:lineRule="auto"/>
      </w:pPr>
      <w:r>
        <w:continuationSeparator/>
      </w:r>
    </w:p>
  </w:endnote>
  <w:endnote w:type="continuationNotice" w:id="1">
    <w:p w14:paraId="15CADEFC" w14:textId="77777777" w:rsidR="004320A9" w:rsidRDefault="004320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0462584"/>
      <w:docPartObj>
        <w:docPartGallery w:val="Page Numbers (Bottom of Page)"/>
        <w:docPartUnique/>
      </w:docPartObj>
    </w:sdtPr>
    <w:sdtContent>
      <w:p w14:paraId="74367B27" w14:textId="62DF9C0B" w:rsidR="00EC7D53" w:rsidRDefault="00EC7D53">
        <w:pPr>
          <w:pStyle w:val="Footer"/>
          <w:jc w:val="center"/>
        </w:pPr>
        <w:r>
          <w:fldChar w:fldCharType="begin"/>
        </w:r>
        <w:r>
          <w:instrText>PAGE   \* MERGEFORMAT</w:instrText>
        </w:r>
        <w:r>
          <w:fldChar w:fldCharType="separate"/>
        </w:r>
        <w:r>
          <w:t>2</w:t>
        </w:r>
        <w:r>
          <w:fldChar w:fldCharType="end"/>
        </w:r>
      </w:p>
    </w:sdtContent>
  </w:sdt>
  <w:p w14:paraId="58D614A8" w14:textId="6A8E9326" w:rsidR="00EC1C2C" w:rsidRPr="00EC1C2C" w:rsidRDefault="00EC1C2C" w:rsidP="00EC1C2C">
    <w:pPr>
      <w:pStyle w:val="Header"/>
      <w:jc w:val="center"/>
      <w:rPr>
        <w:rFonts w:ascii="Arial Narrow" w:hAnsi="Arial Narrow"/>
        <w:b/>
        <w:color w:val="FF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1DDB4" w14:textId="77777777" w:rsidR="004320A9" w:rsidRDefault="004320A9" w:rsidP="00EC1C2C">
      <w:pPr>
        <w:spacing w:after="0" w:line="240" w:lineRule="auto"/>
      </w:pPr>
      <w:r>
        <w:separator/>
      </w:r>
    </w:p>
  </w:footnote>
  <w:footnote w:type="continuationSeparator" w:id="0">
    <w:p w14:paraId="4914E5B7" w14:textId="77777777" w:rsidR="004320A9" w:rsidRDefault="004320A9" w:rsidP="00EC1C2C">
      <w:pPr>
        <w:spacing w:after="0" w:line="240" w:lineRule="auto"/>
      </w:pPr>
      <w:r>
        <w:continuationSeparator/>
      </w:r>
    </w:p>
  </w:footnote>
  <w:footnote w:type="continuationNotice" w:id="1">
    <w:p w14:paraId="1DC808C1" w14:textId="77777777" w:rsidR="004320A9" w:rsidRDefault="004320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9E62C" w14:textId="08C1D264" w:rsidR="00681E5D" w:rsidRDefault="00681E5D" w:rsidP="00EC7D53">
    <w:pPr>
      <w:pStyle w:val="Header"/>
      <w:jc w:val="center"/>
    </w:pPr>
    <w:r>
      <w:t>Item 5 – Medium term financial forecast 26-27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6F1D"/>
    <w:multiLevelType w:val="hybridMultilevel"/>
    <w:tmpl w:val="E60262EE"/>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9A5B5B"/>
    <w:multiLevelType w:val="hybridMultilevel"/>
    <w:tmpl w:val="1C206CD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044B7310"/>
    <w:multiLevelType w:val="hybridMultilevel"/>
    <w:tmpl w:val="11E6203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066E48DA"/>
    <w:multiLevelType w:val="hybridMultilevel"/>
    <w:tmpl w:val="11BE202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AD3C5A"/>
    <w:multiLevelType w:val="hybridMultilevel"/>
    <w:tmpl w:val="C540C2C4"/>
    <w:lvl w:ilvl="0" w:tplc="D2F462A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FF767E"/>
    <w:multiLevelType w:val="hybridMultilevel"/>
    <w:tmpl w:val="1358688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18842568"/>
    <w:multiLevelType w:val="hybridMultilevel"/>
    <w:tmpl w:val="8B908FF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1BD569CF"/>
    <w:multiLevelType w:val="hybridMultilevel"/>
    <w:tmpl w:val="5D6EA82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C692DB8"/>
    <w:multiLevelType w:val="hybridMultilevel"/>
    <w:tmpl w:val="8B04847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1EC117D2"/>
    <w:multiLevelType w:val="hybridMultilevel"/>
    <w:tmpl w:val="2C2053F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3785D1B"/>
    <w:multiLevelType w:val="multilevel"/>
    <w:tmpl w:val="55204142"/>
    <w:lvl w:ilvl="0">
      <w:start w:val="2"/>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1" w15:restartNumberingAfterBreak="0">
    <w:nsid w:val="23A77FB5"/>
    <w:multiLevelType w:val="hybridMultilevel"/>
    <w:tmpl w:val="0B8A324A"/>
    <w:lvl w:ilvl="0" w:tplc="AAE47734">
      <w:start w:val="1"/>
      <w:numFmt w:val="bullet"/>
      <w:lvlText w:val=""/>
      <w:lvlJc w:val="left"/>
      <w:pPr>
        <w:ind w:left="1440" w:hanging="360"/>
      </w:pPr>
      <w:rPr>
        <w:rFonts w:ascii="Symbol" w:hAnsi="Symbol"/>
      </w:rPr>
    </w:lvl>
    <w:lvl w:ilvl="1" w:tplc="7B9A28A4">
      <w:start w:val="1"/>
      <w:numFmt w:val="bullet"/>
      <w:lvlText w:val=""/>
      <w:lvlJc w:val="left"/>
      <w:pPr>
        <w:ind w:left="1440" w:hanging="360"/>
      </w:pPr>
      <w:rPr>
        <w:rFonts w:ascii="Symbol" w:hAnsi="Symbol"/>
      </w:rPr>
    </w:lvl>
    <w:lvl w:ilvl="2" w:tplc="93E8A352">
      <w:start w:val="1"/>
      <w:numFmt w:val="bullet"/>
      <w:lvlText w:val=""/>
      <w:lvlJc w:val="left"/>
      <w:pPr>
        <w:ind w:left="1440" w:hanging="360"/>
      </w:pPr>
      <w:rPr>
        <w:rFonts w:ascii="Symbol" w:hAnsi="Symbol"/>
      </w:rPr>
    </w:lvl>
    <w:lvl w:ilvl="3" w:tplc="0302D35C">
      <w:start w:val="1"/>
      <w:numFmt w:val="bullet"/>
      <w:lvlText w:val=""/>
      <w:lvlJc w:val="left"/>
      <w:pPr>
        <w:ind w:left="1440" w:hanging="360"/>
      </w:pPr>
      <w:rPr>
        <w:rFonts w:ascii="Symbol" w:hAnsi="Symbol"/>
      </w:rPr>
    </w:lvl>
    <w:lvl w:ilvl="4" w:tplc="323EBD0E">
      <w:start w:val="1"/>
      <w:numFmt w:val="bullet"/>
      <w:lvlText w:val=""/>
      <w:lvlJc w:val="left"/>
      <w:pPr>
        <w:ind w:left="1440" w:hanging="360"/>
      </w:pPr>
      <w:rPr>
        <w:rFonts w:ascii="Symbol" w:hAnsi="Symbol"/>
      </w:rPr>
    </w:lvl>
    <w:lvl w:ilvl="5" w:tplc="51C67D06">
      <w:start w:val="1"/>
      <w:numFmt w:val="bullet"/>
      <w:lvlText w:val=""/>
      <w:lvlJc w:val="left"/>
      <w:pPr>
        <w:ind w:left="1440" w:hanging="360"/>
      </w:pPr>
      <w:rPr>
        <w:rFonts w:ascii="Symbol" w:hAnsi="Symbol"/>
      </w:rPr>
    </w:lvl>
    <w:lvl w:ilvl="6" w:tplc="EC10DD7E">
      <w:start w:val="1"/>
      <w:numFmt w:val="bullet"/>
      <w:lvlText w:val=""/>
      <w:lvlJc w:val="left"/>
      <w:pPr>
        <w:ind w:left="1440" w:hanging="360"/>
      </w:pPr>
      <w:rPr>
        <w:rFonts w:ascii="Symbol" w:hAnsi="Symbol"/>
      </w:rPr>
    </w:lvl>
    <w:lvl w:ilvl="7" w:tplc="A6F468AC">
      <w:start w:val="1"/>
      <w:numFmt w:val="bullet"/>
      <w:lvlText w:val=""/>
      <w:lvlJc w:val="left"/>
      <w:pPr>
        <w:ind w:left="1440" w:hanging="360"/>
      </w:pPr>
      <w:rPr>
        <w:rFonts w:ascii="Symbol" w:hAnsi="Symbol"/>
      </w:rPr>
    </w:lvl>
    <w:lvl w:ilvl="8" w:tplc="EE8C3124">
      <w:start w:val="1"/>
      <w:numFmt w:val="bullet"/>
      <w:lvlText w:val=""/>
      <w:lvlJc w:val="left"/>
      <w:pPr>
        <w:ind w:left="1440" w:hanging="360"/>
      </w:pPr>
      <w:rPr>
        <w:rFonts w:ascii="Symbol" w:hAnsi="Symbol"/>
      </w:rPr>
    </w:lvl>
  </w:abstractNum>
  <w:abstractNum w:abstractNumId="12" w15:restartNumberingAfterBreak="0">
    <w:nsid w:val="26956B3A"/>
    <w:multiLevelType w:val="hybridMultilevel"/>
    <w:tmpl w:val="C62CFEE6"/>
    <w:lvl w:ilvl="0" w:tplc="0F86FDA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97074AE"/>
    <w:multiLevelType w:val="hybridMultilevel"/>
    <w:tmpl w:val="C3A4F058"/>
    <w:lvl w:ilvl="0" w:tplc="2A50C714">
      <w:numFmt w:val="bullet"/>
      <w:lvlText w:val=""/>
      <w:lvlJc w:val="left"/>
      <w:pPr>
        <w:ind w:left="720" w:hanging="360"/>
      </w:pPr>
      <w:rPr>
        <w:rFonts w:ascii="Symbol" w:eastAsiaTheme="minorHAnsi" w:hAnsi="Symbol" w:cstheme="minorBidi" w:hint="default"/>
        <w:i/>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7770EA"/>
    <w:multiLevelType w:val="hybridMultilevel"/>
    <w:tmpl w:val="1EBC8AA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2DF54899"/>
    <w:multiLevelType w:val="hybridMultilevel"/>
    <w:tmpl w:val="BC92C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E8A3155"/>
    <w:multiLevelType w:val="hybridMultilevel"/>
    <w:tmpl w:val="7FDE0304"/>
    <w:lvl w:ilvl="0" w:tplc="0590C6AE">
      <w:start w:val="1"/>
      <w:numFmt w:val="bullet"/>
      <w:lvlText w:val=""/>
      <w:lvlJc w:val="left"/>
      <w:pPr>
        <w:ind w:left="1440" w:hanging="360"/>
      </w:pPr>
      <w:rPr>
        <w:rFonts w:ascii="Symbol" w:hAnsi="Symbol"/>
      </w:rPr>
    </w:lvl>
    <w:lvl w:ilvl="1" w:tplc="73DACD68">
      <w:start w:val="1"/>
      <w:numFmt w:val="bullet"/>
      <w:lvlText w:val=""/>
      <w:lvlJc w:val="left"/>
      <w:pPr>
        <w:ind w:left="1440" w:hanging="360"/>
      </w:pPr>
      <w:rPr>
        <w:rFonts w:ascii="Symbol" w:hAnsi="Symbol"/>
      </w:rPr>
    </w:lvl>
    <w:lvl w:ilvl="2" w:tplc="C28ADF5E">
      <w:start w:val="1"/>
      <w:numFmt w:val="bullet"/>
      <w:lvlText w:val=""/>
      <w:lvlJc w:val="left"/>
      <w:pPr>
        <w:ind w:left="1440" w:hanging="360"/>
      </w:pPr>
      <w:rPr>
        <w:rFonts w:ascii="Symbol" w:hAnsi="Symbol"/>
      </w:rPr>
    </w:lvl>
    <w:lvl w:ilvl="3" w:tplc="B2EA65A8">
      <w:start w:val="1"/>
      <w:numFmt w:val="bullet"/>
      <w:lvlText w:val=""/>
      <w:lvlJc w:val="left"/>
      <w:pPr>
        <w:ind w:left="1440" w:hanging="360"/>
      </w:pPr>
      <w:rPr>
        <w:rFonts w:ascii="Symbol" w:hAnsi="Symbol"/>
      </w:rPr>
    </w:lvl>
    <w:lvl w:ilvl="4" w:tplc="4B4C103C">
      <w:start w:val="1"/>
      <w:numFmt w:val="bullet"/>
      <w:lvlText w:val=""/>
      <w:lvlJc w:val="left"/>
      <w:pPr>
        <w:ind w:left="1440" w:hanging="360"/>
      </w:pPr>
      <w:rPr>
        <w:rFonts w:ascii="Symbol" w:hAnsi="Symbol"/>
      </w:rPr>
    </w:lvl>
    <w:lvl w:ilvl="5" w:tplc="292CE314">
      <w:start w:val="1"/>
      <w:numFmt w:val="bullet"/>
      <w:lvlText w:val=""/>
      <w:lvlJc w:val="left"/>
      <w:pPr>
        <w:ind w:left="1440" w:hanging="360"/>
      </w:pPr>
      <w:rPr>
        <w:rFonts w:ascii="Symbol" w:hAnsi="Symbol"/>
      </w:rPr>
    </w:lvl>
    <w:lvl w:ilvl="6" w:tplc="F40E6342">
      <w:start w:val="1"/>
      <w:numFmt w:val="bullet"/>
      <w:lvlText w:val=""/>
      <w:lvlJc w:val="left"/>
      <w:pPr>
        <w:ind w:left="1440" w:hanging="360"/>
      </w:pPr>
      <w:rPr>
        <w:rFonts w:ascii="Symbol" w:hAnsi="Symbol"/>
      </w:rPr>
    </w:lvl>
    <w:lvl w:ilvl="7" w:tplc="6FB86EE6">
      <w:start w:val="1"/>
      <w:numFmt w:val="bullet"/>
      <w:lvlText w:val=""/>
      <w:lvlJc w:val="left"/>
      <w:pPr>
        <w:ind w:left="1440" w:hanging="360"/>
      </w:pPr>
      <w:rPr>
        <w:rFonts w:ascii="Symbol" w:hAnsi="Symbol"/>
      </w:rPr>
    </w:lvl>
    <w:lvl w:ilvl="8" w:tplc="CD0A89EA">
      <w:start w:val="1"/>
      <w:numFmt w:val="bullet"/>
      <w:lvlText w:val=""/>
      <w:lvlJc w:val="left"/>
      <w:pPr>
        <w:ind w:left="1440" w:hanging="360"/>
      </w:pPr>
      <w:rPr>
        <w:rFonts w:ascii="Symbol" w:hAnsi="Symbol"/>
      </w:rPr>
    </w:lvl>
  </w:abstractNum>
  <w:abstractNum w:abstractNumId="17" w15:restartNumberingAfterBreak="0">
    <w:nsid w:val="35BB12F9"/>
    <w:multiLevelType w:val="hybridMultilevel"/>
    <w:tmpl w:val="F9BE82E2"/>
    <w:lvl w:ilvl="0" w:tplc="C34CEF0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E72E2C"/>
    <w:multiLevelType w:val="hybridMultilevel"/>
    <w:tmpl w:val="EDB6164C"/>
    <w:lvl w:ilvl="0" w:tplc="91A4C7FE">
      <w:numFmt w:val="bullet"/>
      <w:lvlText w:val="-"/>
      <w:lvlJc w:val="left"/>
      <w:pPr>
        <w:ind w:left="1069" w:hanging="360"/>
      </w:pPr>
      <w:rPr>
        <w:rFonts w:ascii="Arial" w:eastAsiaTheme="minorHAnsi"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9" w15:restartNumberingAfterBreak="0">
    <w:nsid w:val="39ED78C0"/>
    <w:multiLevelType w:val="hybridMultilevel"/>
    <w:tmpl w:val="A2BA2B3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E5334A4"/>
    <w:multiLevelType w:val="multilevel"/>
    <w:tmpl w:val="8CA066FA"/>
    <w:lvl w:ilvl="0">
      <w:start w:val="1"/>
      <w:numFmt w:val="decimal"/>
      <w:lvlText w:val="%1."/>
      <w:lvlJc w:val="left"/>
      <w:pPr>
        <w:ind w:left="470" w:hanging="4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4D66C79"/>
    <w:multiLevelType w:val="multilevel"/>
    <w:tmpl w:val="64D250EE"/>
    <w:lvl w:ilvl="0">
      <w:start w:val="2"/>
      <w:numFmt w:val="decimal"/>
      <w:lvlText w:val="%1"/>
      <w:lvlJc w:val="left"/>
      <w:pPr>
        <w:ind w:left="530" w:hanging="530"/>
      </w:pPr>
      <w:rPr>
        <w:rFonts w:eastAsiaTheme="minorHAnsi" w:hint="default"/>
      </w:rPr>
    </w:lvl>
    <w:lvl w:ilvl="1">
      <w:start w:val="1"/>
      <w:numFmt w:val="decimal"/>
      <w:lvlText w:val="%1.%2"/>
      <w:lvlJc w:val="left"/>
      <w:pPr>
        <w:ind w:left="530" w:hanging="530"/>
      </w:pPr>
      <w:rPr>
        <w:rFonts w:eastAsiaTheme="minorHAnsi" w:hint="default"/>
      </w:rPr>
    </w:lvl>
    <w:lvl w:ilvl="2">
      <w:start w:val="2"/>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2" w15:restartNumberingAfterBreak="0">
    <w:nsid w:val="557A740B"/>
    <w:multiLevelType w:val="hybridMultilevel"/>
    <w:tmpl w:val="178C9B32"/>
    <w:lvl w:ilvl="0" w:tplc="7B7A995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AC259F"/>
    <w:multiLevelType w:val="hybridMultilevel"/>
    <w:tmpl w:val="E5EE8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951341"/>
    <w:multiLevelType w:val="hybridMultilevel"/>
    <w:tmpl w:val="03482DDE"/>
    <w:lvl w:ilvl="0" w:tplc="676E3DC4">
      <w:numFmt w:val="bullet"/>
      <w:lvlText w:val="-"/>
      <w:lvlJc w:val="left"/>
      <w:pPr>
        <w:ind w:left="1069" w:hanging="360"/>
      </w:pPr>
      <w:rPr>
        <w:rFonts w:ascii="Arial" w:eastAsia="Calibri"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5" w15:restartNumberingAfterBreak="0">
    <w:nsid w:val="595C5CFB"/>
    <w:multiLevelType w:val="multilevel"/>
    <w:tmpl w:val="3A207094"/>
    <w:lvl w:ilvl="0">
      <w:start w:val="1"/>
      <w:numFmt w:val="upperRoman"/>
      <w:lvlText w:val="%1."/>
      <w:lvlJc w:val="right"/>
      <w:pPr>
        <w:ind w:left="2160" w:hanging="360"/>
      </w:pPr>
    </w:lvl>
    <w:lvl w:ilvl="1">
      <w:start w:val="1"/>
      <w:numFmt w:val="decimal"/>
      <w:isLgl/>
      <w:lvlText w:val="%1.%2"/>
      <w:lvlJc w:val="left"/>
      <w:pPr>
        <w:ind w:left="2580" w:hanging="780"/>
      </w:pPr>
      <w:rPr>
        <w:rFonts w:hint="default"/>
      </w:rPr>
    </w:lvl>
    <w:lvl w:ilvl="2">
      <w:start w:val="1"/>
      <w:numFmt w:val="decimal"/>
      <w:isLgl/>
      <w:lvlText w:val="%1.%2.%3"/>
      <w:lvlJc w:val="left"/>
      <w:pPr>
        <w:ind w:left="2580" w:hanging="780"/>
      </w:pPr>
      <w:rPr>
        <w:rFonts w:hint="default"/>
      </w:rPr>
    </w:lvl>
    <w:lvl w:ilvl="3">
      <w:start w:val="1"/>
      <w:numFmt w:val="decimal"/>
      <w:isLgl/>
      <w:lvlText w:val="%1.%2.%3.%4"/>
      <w:lvlJc w:val="left"/>
      <w:pPr>
        <w:ind w:left="2580" w:hanging="7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26" w15:restartNumberingAfterBreak="0">
    <w:nsid w:val="5F95274E"/>
    <w:multiLevelType w:val="hybridMultilevel"/>
    <w:tmpl w:val="1FD0CF1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6B6F6A"/>
    <w:multiLevelType w:val="hybridMultilevel"/>
    <w:tmpl w:val="EFA04EE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8" w15:restartNumberingAfterBreak="0">
    <w:nsid w:val="630503EF"/>
    <w:multiLevelType w:val="hybridMultilevel"/>
    <w:tmpl w:val="3732E28C"/>
    <w:lvl w:ilvl="0" w:tplc="0F86FDAE">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52226D8"/>
    <w:multiLevelType w:val="hybridMultilevel"/>
    <w:tmpl w:val="BE96323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5D44483"/>
    <w:multiLevelType w:val="multilevel"/>
    <w:tmpl w:val="20C457EE"/>
    <w:lvl w:ilvl="0">
      <w:start w:val="2"/>
      <w:numFmt w:val="decimal"/>
      <w:lvlText w:val="%1"/>
      <w:lvlJc w:val="left"/>
      <w:pPr>
        <w:ind w:left="360" w:hanging="360"/>
      </w:pPr>
      <w:rPr>
        <w:rFonts w:eastAsiaTheme="minorHAnsi" w:hint="default"/>
      </w:rPr>
    </w:lvl>
    <w:lvl w:ilvl="1">
      <w:start w:val="2"/>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1" w15:restartNumberingAfterBreak="0">
    <w:nsid w:val="6765569C"/>
    <w:multiLevelType w:val="hybridMultilevel"/>
    <w:tmpl w:val="2FE4C6E4"/>
    <w:lvl w:ilvl="0" w:tplc="D4E2A096">
      <w:start w:val="840"/>
      <w:numFmt w:val="bullet"/>
      <w:lvlText w:val="-"/>
      <w:lvlJc w:val="left"/>
      <w:pPr>
        <w:ind w:left="1800" w:hanging="360"/>
      </w:pPr>
      <w:rPr>
        <w:rFonts w:ascii="Arial" w:eastAsia="Calibri"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2" w15:restartNumberingAfterBreak="0">
    <w:nsid w:val="72865EA1"/>
    <w:multiLevelType w:val="hybridMultilevel"/>
    <w:tmpl w:val="29004856"/>
    <w:lvl w:ilvl="0" w:tplc="7B7A995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A31D0E"/>
    <w:multiLevelType w:val="hybridMultilevel"/>
    <w:tmpl w:val="4B4027C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77DF004C"/>
    <w:multiLevelType w:val="multilevel"/>
    <w:tmpl w:val="3A207094"/>
    <w:lvl w:ilvl="0">
      <w:start w:val="1"/>
      <w:numFmt w:val="upperRoman"/>
      <w:lvlText w:val="%1."/>
      <w:lvlJc w:val="right"/>
      <w:pPr>
        <w:ind w:left="2160" w:hanging="360"/>
      </w:pPr>
    </w:lvl>
    <w:lvl w:ilvl="1">
      <w:start w:val="1"/>
      <w:numFmt w:val="decimal"/>
      <w:isLgl/>
      <w:lvlText w:val="%1.%2"/>
      <w:lvlJc w:val="left"/>
      <w:pPr>
        <w:ind w:left="2580" w:hanging="780"/>
      </w:pPr>
      <w:rPr>
        <w:rFonts w:hint="default"/>
      </w:rPr>
    </w:lvl>
    <w:lvl w:ilvl="2">
      <w:start w:val="1"/>
      <w:numFmt w:val="decimal"/>
      <w:isLgl/>
      <w:lvlText w:val="%1.%2.%3"/>
      <w:lvlJc w:val="left"/>
      <w:pPr>
        <w:ind w:left="2580" w:hanging="780"/>
      </w:pPr>
      <w:rPr>
        <w:rFonts w:hint="default"/>
      </w:rPr>
    </w:lvl>
    <w:lvl w:ilvl="3">
      <w:start w:val="1"/>
      <w:numFmt w:val="decimal"/>
      <w:isLgl/>
      <w:lvlText w:val="%1.%2.%3.%4"/>
      <w:lvlJc w:val="left"/>
      <w:pPr>
        <w:ind w:left="2580" w:hanging="7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35" w15:restartNumberingAfterBreak="0">
    <w:nsid w:val="7A293C88"/>
    <w:multiLevelType w:val="multilevel"/>
    <w:tmpl w:val="FEC2E2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A95007C"/>
    <w:multiLevelType w:val="hybridMultilevel"/>
    <w:tmpl w:val="A0C2D652"/>
    <w:lvl w:ilvl="0" w:tplc="0809000B">
      <w:start w:val="1"/>
      <w:numFmt w:val="bullet"/>
      <w:lvlText w:val=""/>
      <w:lvlJc w:val="left"/>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D632377"/>
    <w:multiLevelType w:val="hybridMultilevel"/>
    <w:tmpl w:val="765C09D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8" w15:restartNumberingAfterBreak="0">
    <w:nsid w:val="7DC66683"/>
    <w:multiLevelType w:val="hybridMultilevel"/>
    <w:tmpl w:val="0A022BF0"/>
    <w:lvl w:ilvl="0" w:tplc="0E066090">
      <w:start w:val="1"/>
      <w:numFmt w:val="bullet"/>
      <w:lvlText w:val=""/>
      <w:lvlJc w:val="left"/>
      <w:pPr>
        <w:ind w:left="1440" w:hanging="360"/>
      </w:pPr>
      <w:rPr>
        <w:rFonts w:ascii="Symbol" w:hAnsi="Symbol"/>
      </w:rPr>
    </w:lvl>
    <w:lvl w:ilvl="1" w:tplc="0DEC6F98">
      <w:start w:val="1"/>
      <w:numFmt w:val="bullet"/>
      <w:lvlText w:val=""/>
      <w:lvlJc w:val="left"/>
      <w:pPr>
        <w:ind w:left="1440" w:hanging="360"/>
      </w:pPr>
      <w:rPr>
        <w:rFonts w:ascii="Symbol" w:hAnsi="Symbol"/>
      </w:rPr>
    </w:lvl>
    <w:lvl w:ilvl="2" w:tplc="8FE248C6">
      <w:start w:val="1"/>
      <w:numFmt w:val="bullet"/>
      <w:lvlText w:val=""/>
      <w:lvlJc w:val="left"/>
      <w:pPr>
        <w:ind w:left="1440" w:hanging="360"/>
      </w:pPr>
      <w:rPr>
        <w:rFonts w:ascii="Symbol" w:hAnsi="Symbol"/>
      </w:rPr>
    </w:lvl>
    <w:lvl w:ilvl="3" w:tplc="65501678">
      <w:start w:val="1"/>
      <w:numFmt w:val="bullet"/>
      <w:lvlText w:val=""/>
      <w:lvlJc w:val="left"/>
      <w:pPr>
        <w:ind w:left="1440" w:hanging="360"/>
      </w:pPr>
      <w:rPr>
        <w:rFonts w:ascii="Symbol" w:hAnsi="Symbol"/>
      </w:rPr>
    </w:lvl>
    <w:lvl w:ilvl="4" w:tplc="525C2B46">
      <w:start w:val="1"/>
      <w:numFmt w:val="bullet"/>
      <w:lvlText w:val=""/>
      <w:lvlJc w:val="left"/>
      <w:pPr>
        <w:ind w:left="1440" w:hanging="360"/>
      </w:pPr>
      <w:rPr>
        <w:rFonts w:ascii="Symbol" w:hAnsi="Symbol"/>
      </w:rPr>
    </w:lvl>
    <w:lvl w:ilvl="5" w:tplc="72F48584">
      <w:start w:val="1"/>
      <w:numFmt w:val="bullet"/>
      <w:lvlText w:val=""/>
      <w:lvlJc w:val="left"/>
      <w:pPr>
        <w:ind w:left="1440" w:hanging="360"/>
      </w:pPr>
      <w:rPr>
        <w:rFonts w:ascii="Symbol" w:hAnsi="Symbol"/>
      </w:rPr>
    </w:lvl>
    <w:lvl w:ilvl="6" w:tplc="8E5CE530">
      <w:start w:val="1"/>
      <w:numFmt w:val="bullet"/>
      <w:lvlText w:val=""/>
      <w:lvlJc w:val="left"/>
      <w:pPr>
        <w:ind w:left="1440" w:hanging="360"/>
      </w:pPr>
      <w:rPr>
        <w:rFonts w:ascii="Symbol" w:hAnsi="Symbol"/>
      </w:rPr>
    </w:lvl>
    <w:lvl w:ilvl="7" w:tplc="24FA0278">
      <w:start w:val="1"/>
      <w:numFmt w:val="bullet"/>
      <w:lvlText w:val=""/>
      <w:lvlJc w:val="left"/>
      <w:pPr>
        <w:ind w:left="1440" w:hanging="360"/>
      </w:pPr>
      <w:rPr>
        <w:rFonts w:ascii="Symbol" w:hAnsi="Symbol"/>
      </w:rPr>
    </w:lvl>
    <w:lvl w:ilvl="8" w:tplc="F6F48550">
      <w:start w:val="1"/>
      <w:numFmt w:val="bullet"/>
      <w:lvlText w:val=""/>
      <w:lvlJc w:val="left"/>
      <w:pPr>
        <w:ind w:left="1440" w:hanging="360"/>
      </w:pPr>
      <w:rPr>
        <w:rFonts w:ascii="Symbol" w:hAnsi="Symbol"/>
      </w:rPr>
    </w:lvl>
  </w:abstractNum>
  <w:abstractNum w:abstractNumId="39" w15:restartNumberingAfterBreak="0">
    <w:nsid w:val="7DF5741F"/>
    <w:multiLevelType w:val="hybridMultilevel"/>
    <w:tmpl w:val="53F2E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4387122">
    <w:abstractNumId w:val="14"/>
  </w:num>
  <w:num w:numId="2" w16cid:durableId="479540413">
    <w:abstractNumId w:val="2"/>
  </w:num>
  <w:num w:numId="3" w16cid:durableId="1318459001">
    <w:abstractNumId w:val="1"/>
  </w:num>
  <w:num w:numId="4" w16cid:durableId="1838840069">
    <w:abstractNumId w:val="6"/>
  </w:num>
  <w:num w:numId="5" w16cid:durableId="1878421928">
    <w:abstractNumId w:val="5"/>
  </w:num>
  <w:num w:numId="6" w16cid:durableId="1628272598">
    <w:abstractNumId w:val="8"/>
  </w:num>
  <w:num w:numId="7" w16cid:durableId="1150561531">
    <w:abstractNumId w:val="37"/>
  </w:num>
  <w:num w:numId="8" w16cid:durableId="1199704193">
    <w:abstractNumId w:val="23"/>
  </w:num>
  <w:num w:numId="9" w16cid:durableId="1543132908">
    <w:abstractNumId w:val="15"/>
  </w:num>
  <w:num w:numId="10" w16cid:durableId="1767072320">
    <w:abstractNumId w:val="0"/>
  </w:num>
  <w:num w:numId="11" w16cid:durableId="1517228357">
    <w:abstractNumId w:val="39"/>
  </w:num>
  <w:num w:numId="12" w16cid:durableId="727268021">
    <w:abstractNumId w:val="26"/>
  </w:num>
  <w:num w:numId="13" w16cid:durableId="1425762068">
    <w:abstractNumId w:val="3"/>
  </w:num>
  <w:num w:numId="14" w16cid:durableId="196285697">
    <w:abstractNumId w:val="32"/>
  </w:num>
  <w:num w:numId="15" w16cid:durableId="1100444735">
    <w:abstractNumId w:val="4"/>
  </w:num>
  <w:num w:numId="16" w16cid:durableId="453524619">
    <w:abstractNumId w:val="13"/>
  </w:num>
  <w:num w:numId="17" w16cid:durableId="823158990">
    <w:abstractNumId w:val="22"/>
  </w:num>
  <w:num w:numId="18" w16cid:durableId="237979204">
    <w:abstractNumId w:val="29"/>
  </w:num>
  <w:num w:numId="19" w16cid:durableId="2005233699">
    <w:abstractNumId w:val="36"/>
  </w:num>
  <w:num w:numId="20" w16cid:durableId="1521773904">
    <w:abstractNumId w:val="35"/>
  </w:num>
  <w:num w:numId="21" w16cid:durableId="9880526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858484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5614084">
    <w:abstractNumId w:val="19"/>
  </w:num>
  <w:num w:numId="24" w16cid:durableId="178199579">
    <w:abstractNumId w:val="20"/>
  </w:num>
  <w:num w:numId="25" w16cid:durableId="2054304083">
    <w:abstractNumId w:val="34"/>
  </w:num>
  <w:num w:numId="26" w16cid:durableId="1951544361">
    <w:abstractNumId w:val="7"/>
  </w:num>
  <w:num w:numId="27" w16cid:durableId="1431898926">
    <w:abstractNumId w:val="25"/>
  </w:num>
  <w:num w:numId="28" w16cid:durableId="1924220404">
    <w:abstractNumId w:val="10"/>
  </w:num>
  <w:num w:numId="29" w16cid:durableId="333800474">
    <w:abstractNumId w:val="21"/>
  </w:num>
  <w:num w:numId="30" w16cid:durableId="1634214943">
    <w:abstractNumId w:val="33"/>
  </w:num>
  <w:num w:numId="31" w16cid:durableId="1773937155">
    <w:abstractNumId w:val="30"/>
  </w:num>
  <w:num w:numId="32" w16cid:durableId="1017192655">
    <w:abstractNumId w:val="17"/>
  </w:num>
  <w:num w:numId="33" w16cid:durableId="476413166">
    <w:abstractNumId w:val="12"/>
  </w:num>
  <w:num w:numId="34" w16cid:durableId="910847209">
    <w:abstractNumId w:val="28"/>
  </w:num>
  <w:num w:numId="35" w16cid:durableId="915896083">
    <w:abstractNumId w:val="27"/>
  </w:num>
  <w:num w:numId="36" w16cid:durableId="1574043699">
    <w:abstractNumId w:val="18"/>
  </w:num>
  <w:num w:numId="37" w16cid:durableId="135027729">
    <w:abstractNumId w:val="24"/>
  </w:num>
  <w:num w:numId="38" w16cid:durableId="11148358">
    <w:abstractNumId w:val="31"/>
  </w:num>
  <w:num w:numId="39" w16cid:durableId="1691829879">
    <w:abstractNumId w:val="38"/>
  </w:num>
  <w:num w:numId="40" w16cid:durableId="883105320">
    <w:abstractNumId w:val="16"/>
  </w:num>
  <w:num w:numId="41" w16cid:durableId="10725035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8EF"/>
    <w:rsid w:val="00001112"/>
    <w:rsid w:val="000011A0"/>
    <w:rsid w:val="00001702"/>
    <w:rsid w:val="0000355A"/>
    <w:rsid w:val="00003F4E"/>
    <w:rsid w:val="00005054"/>
    <w:rsid w:val="000057EA"/>
    <w:rsid w:val="00010251"/>
    <w:rsid w:val="0001417A"/>
    <w:rsid w:val="00015698"/>
    <w:rsid w:val="000160A0"/>
    <w:rsid w:val="00017032"/>
    <w:rsid w:val="00017CF7"/>
    <w:rsid w:val="00017D4C"/>
    <w:rsid w:val="0002041F"/>
    <w:rsid w:val="00020D75"/>
    <w:rsid w:val="00022455"/>
    <w:rsid w:val="00022703"/>
    <w:rsid w:val="00022716"/>
    <w:rsid w:val="0002400D"/>
    <w:rsid w:val="00024549"/>
    <w:rsid w:val="00024FDB"/>
    <w:rsid w:val="0002658D"/>
    <w:rsid w:val="00026929"/>
    <w:rsid w:val="00027100"/>
    <w:rsid w:val="00027495"/>
    <w:rsid w:val="00031388"/>
    <w:rsid w:val="00031FDF"/>
    <w:rsid w:val="0003246A"/>
    <w:rsid w:val="00033307"/>
    <w:rsid w:val="00034E3F"/>
    <w:rsid w:val="00035467"/>
    <w:rsid w:val="00037749"/>
    <w:rsid w:val="00037F02"/>
    <w:rsid w:val="00040FC0"/>
    <w:rsid w:val="0004165C"/>
    <w:rsid w:val="00042092"/>
    <w:rsid w:val="00042460"/>
    <w:rsid w:val="00042C8B"/>
    <w:rsid w:val="00043124"/>
    <w:rsid w:val="000433F5"/>
    <w:rsid w:val="0004354D"/>
    <w:rsid w:val="00043DD7"/>
    <w:rsid w:val="0004417C"/>
    <w:rsid w:val="000454E1"/>
    <w:rsid w:val="000466C6"/>
    <w:rsid w:val="00050530"/>
    <w:rsid w:val="00050E13"/>
    <w:rsid w:val="00051A01"/>
    <w:rsid w:val="00051CE3"/>
    <w:rsid w:val="00052AFF"/>
    <w:rsid w:val="00052F18"/>
    <w:rsid w:val="00053116"/>
    <w:rsid w:val="00054B15"/>
    <w:rsid w:val="00055115"/>
    <w:rsid w:val="0005527A"/>
    <w:rsid w:val="00055E49"/>
    <w:rsid w:val="00057E65"/>
    <w:rsid w:val="00062645"/>
    <w:rsid w:val="00064292"/>
    <w:rsid w:val="00065091"/>
    <w:rsid w:val="00065FD8"/>
    <w:rsid w:val="0006613B"/>
    <w:rsid w:val="00067719"/>
    <w:rsid w:val="000718CE"/>
    <w:rsid w:val="000718ED"/>
    <w:rsid w:val="0007296E"/>
    <w:rsid w:val="000768BA"/>
    <w:rsid w:val="000776D8"/>
    <w:rsid w:val="00077FCE"/>
    <w:rsid w:val="00080704"/>
    <w:rsid w:val="0008236B"/>
    <w:rsid w:val="0008331D"/>
    <w:rsid w:val="000846DE"/>
    <w:rsid w:val="00084B33"/>
    <w:rsid w:val="0008676A"/>
    <w:rsid w:val="00086933"/>
    <w:rsid w:val="00090D0E"/>
    <w:rsid w:val="000910AB"/>
    <w:rsid w:val="00092D0B"/>
    <w:rsid w:val="00093B20"/>
    <w:rsid w:val="0009633C"/>
    <w:rsid w:val="0009683F"/>
    <w:rsid w:val="00097D7C"/>
    <w:rsid w:val="000A03AD"/>
    <w:rsid w:val="000A0962"/>
    <w:rsid w:val="000A0CB9"/>
    <w:rsid w:val="000A34D9"/>
    <w:rsid w:val="000A6BFD"/>
    <w:rsid w:val="000B14B2"/>
    <w:rsid w:val="000B1629"/>
    <w:rsid w:val="000B300B"/>
    <w:rsid w:val="000B3085"/>
    <w:rsid w:val="000B3279"/>
    <w:rsid w:val="000B4293"/>
    <w:rsid w:val="000B53F3"/>
    <w:rsid w:val="000B69EA"/>
    <w:rsid w:val="000B6EF4"/>
    <w:rsid w:val="000B6FA2"/>
    <w:rsid w:val="000B7280"/>
    <w:rsid w:val="000B7791"/>
    <w:rsid w:val="000C1605"/>
    <w:rsid w:val="000C56E7"/>
    <w:rsid w:val="000C5DD9"/>
    <w:rsid w:val="000C5FF6"/>
    <w:rsid w:val="000C70F2"/>
    <w:rsid w:val="000C7B75"/>
    <w:rsid w:val="000D084F"/>
    <w:rsid w:val="000D1F7D"/>
    <w:rsid w:val="000D266C"/>
    <w:rsid w:val="000D448A"/>
    <w:rsid w:val="000D4B64"/>
    <w:rsid w:val="000D53C8"/>
    <w:rsid w:val="000D5967"/>
    <w:rsid w:val="000D5CD9"/>
    <w:rsid w:val="000D5E50"/>
    <w:rsid w:val="000D681B"/>
    <w:rsid w:val="000D6FD7"/>
    <w:rsid w:val="000E2CDE"/>
    <w:rsid w:val="000E38C5"/>
    <w:rsid w:val="000E68CA"/>
    <w:rsid w:val="000E724E"/>
    <w:rsid w:val="000F39F6"/>
    <w:rsid w:val="000F5F34"/>
    <w:rsid w:val="000F791F"/>
    <w:rsid w:val="001021F3"/>
    <w:rsid w:val="00102E4C"/>
    <w:rsid w:val="00103C69"/>
    <w:rsid w:val="00103F68"/>
    <w:rsid w:val="00106F46"/>
    <w:rsid w:val="00111DA3"/>
    <w:rsid w:val="00112795"/>
    <w:rsid w:val="0011284B"/>
    <w:rsid w:val="00112887"/>
    <w:rsid w:val="001142DC"/>
    <w:rsid w:val="00114332"/>
    <w:rsid w:val="001160EC"/>
    <w:rsid w:val="00116D12"/>
    <w:rsid w:val="001170F5"/>
    <w:rsid w:val="0011748C"/>
    <w:rsid w:val="00117A4E"/>
    <w:rsid w:val="001203DE"/>
    <w:rsid w:val="00120921"/>
    <w:rsid w:val="00121288"/>
    <w:rsid w:val="001215A0"/>
    <w:rsid w:val="0012406C"/>
    <w:rsid w:val="00124A82"/>
    <w:rsid w:val="00124E24"/>
    <w:rsid w:val="001250B5"/>
    <w:rsid w:val="00127E23"/>
    <w:rsid w:val="001303F0"/>
    <w:rsid w:val="001311CC"/>
    <w:rsid w:val="0013208C"/>
    <w:rsid w:val="00134600"/>
    <w:rsid w:val="00134A2D"/>
    <w:rsid w:val="00134EF4"/>
    <w:rsid w:val="001354B7"/>
    <w:rsid w:val="00137B63"/>
    <w:rsid w:val="001439BC"/>
    <w:rsid w:val="00143D29"/>
    <w:rsid w:val="00144378"/>
    <w:rsid w:val="00145E7E"/>
    <w:rsid w:val="00146B7B"/>
    <w:rsid w:val="00147CB6"/>
    <w:rsid w:val="001507F5"/>
    <w:rsid w:val="001516E2"/>
    <w:rsid w:val="00151BD8"/>
    <w:rsid w:val="00152A6E"/>
    <w:rsid w:val="00152C07"/>
    <w:rsid w:val="00154BBB"/>
    <w:rsid w:val="001555E2"/>
    <w:rsid w:val="001559FA"/>
    <w:rsid w:val="00156EE0"/>
    <w:rsid w:val="00157908"/>
    <w:rsid w:val="00157B03"/>
    <w:rsid w:val="0016013C"/>
    <w:rsid w:val="0016046E"/>
    <w:rsid w:val="00161320"/>
    <w:rsid w:val="00163601"/>
    <w:rsid w:val="00165FA0"/>
    <w:rsid w:val="00171989"/>
    <w:rsid w:val="00171B3D"/>
    <w:rsid w:val="00172D36"/>
    <w:rsid w:val="001747DE"/>
    <w:rsid w:val="00174928"/>
    <w:rsid w:val="001752F1"/>
    <w:rsid w:val="0017534E"/>
    <w:rsid w:val="001755BD"/>
    <w:rsid w:val="001757E7"/>
    <w:rsid w:val="00177305"/>
    <w:rsid w:val="00177865"/>
    <w:rsid w:val="00180D29"/>
    <w:rsid w:val="0018131A"/>
    <w:rsid w:val="0018172E"/>
    <w:rsid w:val="00182EDC"/>
    <w:rsid w:val="00183665"/>
    <w:rsid w:val="00185791"/>
    <w:rsid w:val="0018625D"/>
    <w:rsid w:val="00186B63"/>
    <w:rsid w:val="001903AB"/>
    <w:rsid w:val="00190C9C"/>
    <w:rsid w:val="0019141F"/>
    <w:rsid w:val="001969D6"/>
    <w:rsid w:val="00197702"/>
    <w:rsid w:val="001A0014"/>
    <w:rsid w:val="001A11B0"/>
    <w:rsid w:val="001A316C"/>
    <w:rsid w:val="001A48A9"/>
    <w:rsid w:val="001A62A8"/>
    <w:rsid w:val="001A7633"/>
    <w:rsid w:val="001B0CCB"/>
    <w:rsid w:val="001B1E72"/>
    <w:rsid w:val="001B22FE"/>
    <w:rsid w:val="001B39E1"/>
    <w:rsid w:val="001B5039"/>
    <w:rsid w:val="001B536C"/>
    <w:rsid w:val="001B5E90"/>
    <w:rsid w:val="001B5F7E"/>
    <w:rsid w:val="001B6638"/>
    <w:rsid w:val="001B7BF8"/>
    <w:rsid w:val="001C085E"/>
    <w:rsid w:val="001C0E38"/>
    <w:rsid w:val="001C3B05"/>
    <w:rsid w:val="001C41EA"/>
    <w:rsid w:val="001C49E4"/>
    <w:rsid w:val="001C542E"/>
    <w:rsid w:val="001C54F4"/>
    <w:rsid w:val="001C581B"/>
    <w:rsid w:val="001C65E1"/>
    <w:rsid w:val="001D0121"/>
    <w:rsid w:val="001D03D3"/>
    <w:rsid w:val="001D058D"/>
    <w:rsid w:val="001D0B96"/>
    <w:rsid w:val="001D1D85"/>
    <w:rsid w:val="001D1E13"/>
    <w:rsid w:val="001D20F7"/>
    <w:rsid w:val="001D28CD"/>
    <w:rsid w:val="001D39CC"/>
    <w:rsid w:val="001D7642"/>
    <w:rsid w:val="001E0B84"/>
    <w:rsid w:val="001E1605"/>
    <w:rsid w:val="001E162B"/>
    <w:rsid w:val="001E1EA6"/>
    <w:rsid w:val="001E375C"/>
    <w:rsid w:val="001E3B0A"/>
    <w:rsid w:val="001E7658"/>
    <w:rsid w:val="001F2CFA"/>
    <w:rsid w:val="001F30AC"/>
    <w:rsid w:val="001F3DBF"/>
    <w:rsid w:val="001F4967"/>
    <w:rsid w:val="00200D80"/>
    <w:rsid w:val="002029FE"/>
    <w:rsid w:val="0020641A"/>
    <w:rsid w:val="00210530"/>
    <w:rsid w:val="002108A4"/>
    <w:rsid w:val="0021095A"/>
    <w:rsid w:val="0021261B"/>
    <w:rsid w:val="00212969"/>
    <w:rsid w:val="00212F1C"/>
    <w:rsid w:val="00213D04"/>
    <w:rsid w:val="002142CE"/>
    <w:rsid w:val="00215148"/>
    <w:rsid w:val="002159DE"/>
    <w:rsid w:val="00216F2D"/>
    <w:rsid w:val="00217BEF"/>
    <w:rsid w:val="00220FF0"/>
    <w:rsid w:val="00222566"/>
    <w:rsid w:val="00222F74"/>
    <w:rsid w:val="002238E2"/>
    <w:rsid w:val="002262EF"/>
    <w:rsid w:val="002271CE"/>
    <w:rsid w:val="0022731E"/>
    <w:rsid w:val="00227AD5"/>
    <w:rsid w:val="00227EE0"/>
    <w:rsid w:val="00232059"/>
    <w:rsid w:val="0023237F"/>
    <w:rsid w:val="0023357C"/>
    <w:rsid w:val="00233DCC"/>
    <w:rsid w:val="00233E68"/>
    <w:rsid w:val="002343B2"/>
    <w:rsid w:val="00234439"/>
    <w:rsid w:val="002350BE"/>
    <w:rsid w:val="0023515C"/>
    <w:rsid w:val="002360E7"/>
    <w:rsid w:val="00236986"/>
    <w:rsid w:val="00236D36"/>
    <w:rsid w:val="002378FB"/>
    <w:rsid w:val="00237E9A"/>
    <w:rsid w:val="00240B02"/>
    <w:rsid w:val="00241694"/>
    <w:rsid w:val="00241DE4"/>
    <w:rsid w:val="00243197"/>
    <w:rsid w:val="00244827"/>
    <w:rsid w:val="0024490C"/>
    <w:rsid w:val="00245327"/>
    <w:rsid w:val="00245A82"/>
    <w:rsid w:val="0024648C"/>
    <w:rsid w:val="00250D98"/>
    <w:rsid w:val="00250E08"/>
    <w:rsid w:val="0025167A"/>
    <w:rsid w:val="00254D7E"/>
    <w:rsid w:val="002562E3"/>
    <w:rsid w:val="0025640E"/>
    <w:rsid w:val="00256F27"/>
    <w:rsid w:val="002578F1"/>
    <w:rsid w:val="002602BB"/>
    <w:rsid w:val="00260D1C"/>
    <w:rsid w:val="00261D2C"/>
    <w:rsid w:val="002626ED"/>
    <w:rsid w:val="0026379B"/>
    <w:rsid w:val="002664F8"/>
    <w:rsid w:val="0027063C"/>
    <w:rsid w:val="00275B36"/>
    <w:rsid w:val="002762FA"/>
    <w:rsid w:val="00276B5F"/>
    <w:rsid w:val="00277611"/>
    <w:rsid w:val="00280904"/>
    <w:rsid w:val="00281459"/>
    <w:rsid w:val="002816EE"/>
    <w:rsid w:val="00281BD2"/>
    <w:rsid w:val="00281ED1"/>
    <w:rsid w:val="00282A7D"/>
    <w:rsid w:val="00283A90"/>
    <w:rsid w:val="00284FEA"/>
    <w:rsid w:val="00285743"/>
    <w:rsid w:val="00285B18"/>
    <w:rsid w:val="002866CF"/>
    <w:rsid w:val="0028698A"/>
    <w:rsid w:val="00290CD2"/>
    <w:rsid w:val="00292123"/>
    <w:rsid w:val="00293DB0"/>
    <w:rsid w:val="002947B2"/>
    <w:rsid w:val="002971AD"/>
    <w:rsid w:val="002A064E"/>
    <w:rsid w:val="002A1480"/>
    <w:rsid w:val="002A1637"/>
    <w:rsid w:val="002A1FD7"/>
    <w:rsid w:val="002A2C9E"/>
    <w:rsid w:val="002A3A5B"/>
    <w:rsid w:val="002A40F8"/>
    <w:rsid w:val="002A4516"/>
    <w:rsid w:val="002A4C7A"/>
    <w:rsid w:val="002A5729"/>
    <w:rsid w:val="002A6449"/>
    <w:rsid w:val="002A6E5B"/>
    <w:rsid w:val="002A7404"/>
    <w:rsid w:val="002B061E"/>
    <w:rsid w:val="002B0875"/>
    <w:rsid w:val="002B0A2F"/>
    <w:rsid w:val="002B0F5B"/>
    <w:rsid w:val="002B3383"/>
    <w:rsid w:val="002B35EA"/>
    <w:rsid w:val="002B4D92"/>
    <w:rsid w:val="002B4FBF"/>
    <w:rsid w:val="002B5BE1"/>
    <w:rsid w:val="002B5E6C"/>
    <w:rsid w:val="002B68F2"/>
    <w:rsid w:val="002B76BF"/>
    <w:rsid w:val="002C01DA"/>
    <w:rsid w:val="002C1893"/>
    <w:rsid w:val="002C30D9"/>
    <w:rsid w:val="002C31B7"/>
    <w:rsid w:val="002C36D5"/>
    <w:rsid w:val="002C554B"/>
    <w:rsid w:val="002C5945"/>
    <w:rsid w:val="002C5A3A"/>
    <w:rsid w:val="002C68A7"/>
    <w:rsid w:val="002D18F4"/>
    <w:rsid w:val="002D4C8E"/>
    <w:rsid w:val="002D4F24"/>
    <w:rsid w:val="002D6DA5"/>
    <w:rsid w:val="002D72B2"/>
    <w:rsid w:val="002D7860"/>
    <w:rsid w:val="002E09B1"/>
    <w:rsid w:val="002E0F4D"/>
    <w:rsid w:val="002E1F33"/>
    <w:rsid w:val="002E2747"/>
    <w:rsid w:val="002E2F22"/>
    <w:rsid w:val="002E31A9"/>
    <w:rsid w:val="002E325D"/>
    <w:rsid w:val="002E3CC0"/>
    <w:rsid w:val="002E621B"/>
    <w:rsid w:val="002E7B3D"/>
    <w:rsid w:val="002E7B48"/>
    <w:rsid w:val="002E7CDE"/>
    <w:rsid w:val="002E7DF8"/>
    <w:rsid w:val="002F0F78"/>
    <w:rsid w:val="002F2100"/>
    <w:rsid w:val="002F2B67"/>
    <w:rsid w:val="002F3C8F"/>
    <w:rsid w:val="002F3F65"/>
    <w:rsid w:val="002F5F82"/>
    <w:rsid w:val="002F6AA4"/>
    <w:rsid w:val="002F777F"/>
    <w:rsid w:val="00302145"/>
    <w:rsid w:val="00302797"/>
    <w:rsid w:val="00303893"/>
    <w:rsid w:val="00305BB4"/>
    <w:rsid w:val="00307333"/>
    <w:rsid w:val="00307D36"/>
    <w:rsid w:val="00310866"/>
    <w:rsid w:val="00311B09"/>
    <w:rsid w:val="00313300"/>
    <w:rsid w:val="00316184"/>
    <w:rsid w:val="00316F70"/>
    <w:rsid w:val="0031737F"/>
    <w:rsid w:val="00320381"/>
    <w:rsid w:val="00320B88"/>
    <w:rsid w:val="003213A7"/>
    <w:rsid w:val="003215AA"/>
    <w:rsid w:val="003215C4"/>
    <w:rsid w:val="00321750"/>
    <w:rsid w:val="00321A1F"/>
    <w:rsid w:val="003230F7"/>
    <w:rsid w:val="003235B0"/>
    <w:rsid w:val="00323776"/>
    <w:rsid w:val="0032781C"/>
    <w:rsid w:val="00330399"/>
    <w:rsid w:val="00331E8B"/>
    <w:rsid w:val="00332293"/>
    <w:rsid w:val="00333D11"/>
    <w:rsid w:val="00334D68"/>
    <w:rsid w:val="00337D96"/>
    <w:rsid w:val="0034157D"/>
    <w:rsid w:val="00343B9F"/>
    <w:rsid w:val="00346B46"/>
    <w:rsid w:val="00346CF6"/>
    <w:rsid w:val="00347B20"/>
    <w:rsid w:val="00350D98"/>
    <w:rsid w:val="0035127F"/>
    <w:rsid w:val="00351B1B"/>
    <w:rsid w:val="0035353B"/>
    <w:rsid w:val="003535AF"/>
    <w:rsid w:val="0035487A"/>
    <w:rsid w:val="00355CDB"/>
    <w:rsid w:val="00355FBA"/>
    <w:rsid w:val="003569DA"/>
    <w:rsid w:val="003574B8"/>
    <w:rsid w:val="003617F9"/>
    <w:rsid w:val="003635D2"/>
    <w:rsid w:val="003639D9"/>
    <w:rsid w:val="00363A99"/>
    <w:rsid w:val="00364759"/>
    <w:rsid w:val="00364B54"/>
    <w:rsid w:val="003660AA"/>
    <w:rsid w:val="003665EC"/>
    <w:rsid w:val="0036699E"/>
    <w:rsid w:val="003669AC"/>
    <w:rsid w:val="003708F6"/>
    <w:rsid w:val="00371D33"/>
    <w:rsid w:val="00373503"/>
    <w:rsid w:val="00373B4E"/>
    <w:rsid w:val="0037469A"/>
    <w:rsid w:val="00374A1D"/>
    <w:rsid w:val="00374CA8"/>
    <w:rsid w:val="00375E8D"/>
    <w:rsid w:val="00375EAB"/>
    <w:rsid w:val="003808E4"/>
    <w:rsid w:val="0038094B"/>
    <w:rsid w:val="00380EBB"/>
    <w:rsid w:val="00381A66"/>
    <w:rsid w:val="00382950"/>
    <w:rsid w:val="00384745"/>
    <w:rsid w:val="00386447"/>
    <w:rsid w:val="00386923"/>
    <w:rsid w:val="003901B4"/>
    <w:rsid w:val="003905A6"/>
    <w:rsid w:val="00393793"/>
    <w:rsid w:val="00393AC2"/>
    <w:rsid w:val="0039562D"/>
    <w:rsid w:val="00396722"/>
    <w:rsid w:val="003976FE"/>
    <w:rsid w:val="0039770C"/>
    <w:rsid w:val="00397C4E"/>
    <w:rsid w:val="003A0A1D"/>
    <w:rsid w:val="003A11BC"/>
    <w:rsid w:val="003A4794"/>
    <w:rsid w:val="003A63B7"/>
    <w:rsid w:val="003A782D"/>
    <w:rsid w:val="003B04CD"/>
    <w:rsid w:val="003B195E"/>
    <w:rsid w:val="003B1A96"/>
    <w:rsid w:val="003B20D4"/>
    <w:rsid w:val="003B2CFF"/>
    <w:rsid w:val="003B3548"/>
    <w:rsid w:val="003B377B"/>
    <w:rsid w:val="003B3CAE"/>
    <w:rsid w:val="003B4E1D"/>
    <w:rsid w:val="003B604F"/>
    <w:rsid w:val="003B7B45"/>
    <w:rsid w:val="003C13E2"/>
    <w:rsid w:val="003C2F62"/>
    <w:rsid w:val="003C30B9"/>
    <w:rsid w:val="003C30F0"/>
    <w:rsid w:val="003C47E4"/>
    <w:rsid w:val="003C4C7C"/>
    <w:rsid w:val="003D0996"/>
    <w:rsid w:val="003D0F9B"/>
    <w:rsid w:val="003D1B1C"/>
    <w:rsid w:val="003D2C10"/>
    <w:rsid w:val="003D3157"/>
    <w:rsid w:val="003D373B"/>
    <w:rsid w:val="003D6734"/>
    <w:rsid w:val="003D73DA"/>
    <w:rsid w:val="003D74B8"/>
    <w:rsid w:val="003E0F1E"/>
    <w:rsid w:val="003E129E"/>
    <w:rsid w:val="003E161E"/>
    <w:rsid w:val="003E2CBB"/>
    <w:rsid w:val="003E491C"/>
    <w:rsid w:val="003E584E"/>
    <w:rsid w:val="003E5AB5"/>
    <w:rsid w:val="003E6785"/>
    <w:rsid w:val="003E783C"/>
    <w:rsid w:val="003E7B0D"/>
    <w:rsid w:val="003F49BE"/>
    <w:rsid w:val="003F548D"/>
    <w:rsid w:val="00403BD9"/>
    <w:rsid w:val="00405674"/>
    <w:rsid w:val="00411614"/>
    <w:rsid w:val="00415EC9"/>
    <w:rsid w:val="004162F2"/>
    <w:rsid w:val="00416308"/>
    <w:rsid w:val="00416953"/>
    <w:rsid w:val="00416DB7"/>
    <w:rsid w:val="00417E0C"/>
    <w:rsid w:val="00421497"/>
    <w:rsid w:val="004241DF"/>
    <w:rsid w:val="00424CE6"/>
    <w:rsid w:val="00425403"/>
    <w:rsid w:val="00425953"/>
    <w:rsid w:val="00425A51"/>
    <w:rsid w:val="00425BC9"/>
    <w:rsid w:val="00427241"/>
    <w:rsid w:val="004275C6"/>
    <w:rsid w:val="00427E34"/>
    <w:rsid w:val="004307AF"/>
    <w:rsid w:val="00430D39"/>
    <w:rsid w:val="00431EE9"/>
    <w:rsid w:val="004320A9"/>
    <w:rsid w:val="004335DD"/>
    <w:rsid w:val="004364FB"/>
    <w:rsid w:val="00440149"/>
    <w:rsid w:val="004423B4"/>
    <w:rsid w:val="00442501"/>
    <w:rsid w:val="00442995"/>
    <w:rsid w:val="00443C35"/>
    <w:rsid w:val="00445321"/>
    <w:rsid w:val="004457EF"/>
    <w:rsid w:val="00446CEE"/>
    <w:rsid w:val="00447527"/>
    <w:rsid w:val="00447E00"/>
    <w:rsid w:val="00454581"/>
    <w:rsid w:val="00455612"/>
    <w:rsid w:val="00457888"/>
    <w:rsid w:val="00457B01"/>
    <w:rsid w:val="0046006E"/>
    <w:rsid w:val="00460C84"/>
    <w:rsid w:val="00462AE5"/>
    <w:rsid w:val="004633DA"/>
    <w:rsid w:val="0046377A"/>
    <w:rsid w:val="004640AB"/>
    <w:rsid w:val="00465B08"/>
    <w:rsid w:val="00466EA5"/>
    <w:rsid w:val="00467D2F"/>
    <w:rsid w:val="00467DB1"/>
    <w:rsid w:val="0047057C"/>
    <w:rsid w:val="00470724"/>
    <w:rsid w:val="00470C17"/>
    <w:rsid w:val="00472912"/>
    <w:rsid w:val="0047555B"/>
    <w:rsid w:val="004756FC"/>
    <w:rsid w:val="00475F7B"/>
    <w:rsid w:val="00476A28"/>
    <w:rsid w:val="00477537"/>
    <w:rsid w:val="0048015C"/>
    <w:rsid w:val="00480233"/>
    <w:rsid w:val="00482598"/>
    <w:rsid w:val="004835F1"/>
    <w:rsid w:val="00483983"/>
    <w:rsid w:val="00484F21"/>
    <w:rsid w:val="0048666E"/>
    <w:rsid w:val="00486A75"/>
    <w:rsid w:val="004928F7"/>
    <w:rsid w:val="00494C19"/>
    <w:rsid w:val="00495BAD"/>
    <w:rsid w:val="00496277"/>
    <w:rsid w:val="004965DA"/>
    <w:rsid w:val="00496729"/>
    <w:rsid w:val="00496AB7"/>
    <w:rsid w:val="00496D8E"/>
    <w:rsid w:val="004A2668"/>
    <w:rsid w:val="004A2A43"/>
    <w:rsid w:val="004A41E2"/>
    <w:rsid w:val="004A4AE3"/>
    <w:rsid w:val="004A4CBB"/>
    <w:rsid w:val="004A4EB6"/>
    <w:rsid w:val="004A5166"/>
    <w:rsid w:val="004A6513"/>
    <w:rsid w:val="004A667C"/>
    <w:rsid w:val="004A6739"/>
    <w:rsid w:val="004A6BFC"/>
    <w:rsid w:val="004A7531"/>
    <w:rsid w:val="004A7BBF"/>
    <w:rsid w:val="004B1BFD"/>
    <w:rsid w:val="004B2E36"/>
    <w:rsid w:val="004B484F"/>
    <w:rsid w:val="004C01DB"/>
    <w:rsid w:val="004C04B9"/>
    <w:rsid w:val="004C08D3"/>
    <w:rsid w:val="004C0BE9"/>
    <w:rsid w:val="004C1501"/>
    <w:rsid w:val="004C1A31"/>
    <w:rsid w:val="004C1E83"/>
    <w:rsid w:val="004C2C07"/>
    <w:rsid w:val="004C4A3C"/>
    <w:rsid w:val="004C5CFF"/>
    <w:rsid w:val="004C72B8"/>
    <w:rsid w:val="004C7CC7"/>
    <w:rsid w:val="004D1B79"/>
    <w:rsid w:val="004D2537"/>
    <w:rsid w:val="004D3344"/>
    <w:rsid w:val="004D4158"/>
    <w:rsid w:val="004E00C8"/>
    <w:rsid w:val="004E0ED6"/>
    <w:rsid w:val="004E115F"/>
    <w:rsid w:val="004E1484"/>
    <w:rsid w:val="004E254C"/>
    <w:rsid w:val="004E742F"/>
    <w:rsid w:val="004F0850"/>
    <w:rsid w:val="004F222C"/>
    <w:rsid w:val="004F35D7"/>
    <w:rsid w:val="004F36F5"/>
    <w:rsid w:val="004F37FD"/>
    <w:rsid w:val="004F3CEC"/>
    <w:rsid w:val="004F448A"/>
    <w:rsid w:val="004F6689"/>
    <w:rsid w:val="005001D6"/>
    <w:rsid w:val="00500901"/>
    <w:rsid w:val="00503F50"/>
    <w:rsid w:val="005057FD"/>
    <w:rsid w:val="00506DD3"/>
    <w:rsid w:val="0051018D"/>
    <w:rsid w:val="00511B83"/>
    <w:rsid w:val="00512B83"/>
    <w:rsid w:val="00513A49"/>
    <w:rsid w:val="005149B4"/>
    <w:rsid w:val="00514FF4"/>
    <w:rsid w:val="0052042E"/>
    <w:rsid w:val="0052062F"/>
    <w:rsid w:val="00520A9A"/>
    <w:rsid w:val="00520ACF"/>
    <w:rsid w:val="00523DB0"/>
    <w:rsid w:val="00524041"/>
    <w:rsid w:val="00524942"/>
    <w:rsid w:val="00526702"/>
    <w:rsid w:val="005270DF"/>
    <w:rsid w:val="00527173"/>
    <w:rsid w:val="005273B6"/>
    <w:rsid w:val="00527695"/>
    <w:rsid w:val="0053089E"/>
    <w:rsid w:val="00530CD9"/>
    <w:rsid w:val="00531BC5"/>
    <w:rsid w:val="00531EE9"/>
    <w:rsid w:val="0053218F"/>
    <w:rsid w:val="00532C19"/>
    <w:rsid w:val="00532F3C"/>
    <w:rsid w:val="00534726"/>
    <w:rsid w:val="00537521"/>
    <w:rsid w:val="0053762E"/>
    <w:rsid w:val="00540D07"/>
    <w:rsid w:val="005421EC"/>
    <w:rsid w:val="00543043"/>
    <w:rsid w:val="00543D9D"/>
    <w:rsid w:val="005457F5"/>
    <w:rsid w:val="00545F2F"/>
    <w:rsid w:val="005503AD"/>
    <w:rsid w:val="00550751"/>
    <w:rsid w:val="00551033"/>
    <w:rsid w:val="0055200F"/>
    <w:rsid w:val="00553C5E"/>
    <w:rsid w:val="0055427D"/>
    <w:rsid w:val="00554987"/>
    <w:rsid w:val="0055590C"/>
    <w:rsid w:val="005563D0"/>
    <w:rsid w:val="005564BC"/>
    <w:rsid w:val="00557969"/>
    <w:rsid w:val="005610DE"/>
    <w:rsid w:val="0056346A"/>
    <w:rsid w:val="00563AF9"/>
    <w:rsid w:val="005641E6"/>
    <w:rsid w:val="00564652"/>
    <w:rsid w:val="005650FD"/>
    <w:rsid w:val="0056529E"/>
    <w:rsid w:val="00565EBB"/>
    <w:rsid w:val="00566F30"/>
    <w:rsid w:val="00567627"/>
    <w:rsid w:val="005702E0"/>
    <w:rsid w:val="00571BCB"/>
    <w:rsid w:val="00572AFC"/>
    <w:rsid w:val="00574107"/>
    <w:rsid w:val="00581DEB"/>
    <w:rsid w:val="00583893"/>
    <w:rsid w:val="00583B9A"/>
    <w:rsid w:val="00585295"/>
    <w:rsid w:val="005869C3"/>
    <w:rsid w:val="00590B2A"/>
    <w:rsid w:val="0059173F"/>
    <w:rsid w:val="00593D19"/>
    <w:rsid w:val="00593FCC"/>
    <w:rsid w:val="005945C4"/>
    <w:rsid w:val="005947E3"/>
    <w:rsid w:val="00595161"/>
    <w:rsid w:val="005957F1"/>
    <w:rsid w:val="00595824"/>
    <w:rsid w:val="005A0863"/>
    <w:rsid w:val="005A0BDB"/>
    <w:rsid w:val="005A3487"/>
    <w:rsid w:val="005A428C"/>
    <w:rsid w:val="005A43D6"/>
    <w:rsid w:val="005A50FE"/>
    <w:rsid w:val="005A570E"/>
    <w:rsid w:val="005A61B2"/>
    <w:rsid w:val="005B1019"/>
    <w:rsid w:val="005B1BCD"/>
    <w:rsid w:val="005B2933"/>
    <w:rsid w:val="005B300C"/>
    <w:rsid w:val="005B4B18"/>
    <w:rsid w:val="005B4CCA"/>
    <w:rsid w:val="005B6985"/>
    <w:rsid w:val="005B7207"/>
    <w:rsid w:val="005C0250"/>
    <w:rsid w:val="005C128D"/>
    <w:rsid w:val="005C3496"/>
    <w:rsid w:val="005C4883"/>
    <w:rsid w:val="005C5DC9"/>
    <w:rsid w:val="005C74C5"/>
    <w:rsid w:val="005D004B"/>
    <w:rsid w:val="005D004E"/>
    <w:rsid w:val="005D011E"/>
    <w:rsid w:val="005D0532"/>
    <w:rsid w:val="005D0F72"/>
    <w:rsid w:val="005D13FB"/>
    <w:rsid w:val="005D1888"/>
    <w:rsid w:val="005D2392"/>
    <w:rsid w:val="005D2ACB"/>
    <w:rsid w:val="005D5624"/>
    <w:rsid w:val="005D6FF7"/>
    <w:rsid w:val="005E0707"/>
    <w:rsid w:val="005E1D4D"/>
    <w:rsid w:val="005E1D97"/>
    <w:rsid w:val="005E38B1"/>
    <w:rsid w:val="005E3A03"/>
    <w:rsid w:val="005E44E8"/>
    <w:rsid w:val="005E679B"/>
    <w:rsid w:val="005E6959"/>
    <w:rsid w:val="005F0021"/>
    <w:rsid w:val="005F04A6"/>
    <w:rsid w:val="005F0868"/>
    <w:rsid w:val="005F0C5D"/>
    <w:rsid w:val="005F21BC"/>
    <w:rsid w:val="005F2B7C"/>
    <w:rsid w:val="005F2F0B"/>
    <w:rsid w:val="005F2F7C"/>
    <w:rsid w:val="005F42AC"/>
    <w:rsid w:val="005F4D91"/>
    <w:rsid w:val="005F7329"/>
    <w:rsid w:val="005F7BC6"/>
    <w:rsid w:val="00600EE4"/>
    <w:rsid w:val="00603783"/>
    <w:rsid w:val="00603AF0"/>
    <w:rsid w:val="00606A56"/>
    <w:rsid w:val="00606F3B"/>
    <w:rsid w:val="00607BF6"/>
    <w:rsid w:val="00610241"/>
    <w:rsid w:val="00611E82"/>
    <w:rsid w:val="0061218A"/>
    <w:rsid w:val="00612373"/>
    <w:rsid w:val="00612760"/>
    <w:rsid w:val="00612B62"/>
    <w:rsid w:val="00613046"/>
    <w:rsid w:val="006132C6"/>
    <w:rsid w:val="0061405A"/>
    <w:rsid w:val="006149D3"/>
    <w:rsid w:val="006155BA"/>
    <w:rsid w:val="006159FF"/>
    <w:rsid w:val="00616832"/>
    <w:rsid w:val="006207B1"/>
    <w:rsid w:val="00621590"/>
    <w:rsid w:val="00621B8D"/>
    <w:rsid w:val="00624421"/>
    <w:rsid w:val="006245D0"/>
    <w:rsid w:val="00626727"/>
    <w:rsid w:val="00626F9A"/>
    <w:rsid w:val="00630458"/>
    <w:rsid w:val="00632A70"/>
    <w:rsid w:val="00633043"/>
    <w:rsid w:val="0063385A"/>
    <w:rsid w:val="00633C87"/>
    <w:rsid w:val="00633EA1"/>
    <w:rsid w:val="006348CE"/>
    <w:rsid w:val="0063536E"/>
    <w:rsid w:val="006359C1"/>
    <w:rsid w:val="00636D79"/>
    <w:rsid w:val="00637A54"/>
    <w:rsid w:val="00640C1E"/>
    <w:rsid w:val="006418AE"/>
    <w:rsid w:val="00641E2C"/>
    <w:rsid w:val="00642155"/>
    <w:rsid w:val="0064243D"/>
    <w:rsid w:val="00642A7D"/>
    <w:rsid w:val="00642BC3"/>
    <w:rsid w:val="00643FCF"/>
    <w:rsid w:val="00647463"/>
    <w:rsid w:val="00650C18"/>
    <w:rsid w:val="00650DF5"/>
    <w:rsid w:val="00651225"/>
    <w:rsid w:val="00652F37"/>
    <w:rsid w:val="00653FE2"/>
    <w:rsid w:val="00654F58"/>
    <w:rsid w:val="00655984"/>
    <w:rsid w:val="00655BD3"/>
    <w:rsid w:val="0065668B"/>
    <w:rsid w:val="00661758"/>
    <w:rsid w:val="00662850"/>
    <w:rsid w:val="00662E1D"/>
    <w:rsid w:val="00662EA9"/>
    <w:rsid w:val="00662FE8"/>
    <w:rsid w:val="0066435B"/>
    <w:rsid w:val="00665520"/>
    <w:rsid w:val="00666D93"/>
    <w:rsid w:val="0066711A"/>
    <w:rsid w:val="0066776B"/>
    <w:rsid w:val="00670626"/>
    <w:rsid w:val="00670F6B"/>
    <w:rsid w:val="00674165"/>
    <w:rsid w:val="00677356"/>
    <w:rsid w:val="00677517"/>
    <w:rsid w:val="0068031B"/>
    <w:rsid w:val="00680A5D"/>
    <w:rsid w:val="006810A2"/>
    <w:rsid w:val="00681CF3"/>
    <w:rsid w:val="00681E5D"/>
    <w:rsid w:val="00682386"/>
    <w:rsid w:val="00682D60"/>
    <w:rsid w:val="006833BE"/>
    <w:rsid w:val="006835D1"/>
    <w:rsid w:val="00684AC6"/>
    <w:rsid w:val="00685527"/>
    <w:rsid w:val="00687F6B"/>
    <w:rsid w:val="00693F49"/>
    <w:rsid w:val="00694309"/>
    <w:rsid w:val="00694738"/>
    <w:rsid w:val="00694891"/>
    <w:rsid w:val="00694966"/>
    <w:rsid w:val="006A1507"/>
    <w:rsid w:val="006A151D"/>
    <w:rsid w:val="006A1F02"/>
    <w:rsid w:val="006A441D"/>
    <w:rsid w:val="006A6050"/>
    <w:rsid w:val="006A62A1"/>
    <w:rsid w:val="006B0D03"/>
    <w:rsid w:val="006B14B2"/>
    <w:rsid w:val="006B1514"/>
    <w:rsid w:val="006B6294"/>
    <w:rsid w:val="006C0465"/>
    <w:rsid w:val="006C0FB0"/>
    <w:rsid w:val="006C10E2"/>
    <w:rsid w:val="006C3AB5"/>
    <w:rsid w:val="006C3D58"/>
    <w:rsid w:val="006C4BA1"/>
    <w:rsid w:val="006C5498"/>
    <w:rsid w:val="006C5AAC"/>
    <w:rsid w:val="006C5C33"/>
    <w:rsid w:val="006C61E2"/>
    <w:rsid w:val="006D1258"/>
    <w:rsid w:val="006D2D5D"/>
    <w:rsid w:val="006D3949"/>
    <w:rsid w:val="006D4E13"/>
    <w:rsid w:val="006D57A5"/>
    <w:rsid w:val="006E0618"/>
    <w:rsid w:val="006E0816"/>
    <w:rsid w:val="006E08DA"/>
    <w:rsid w:val="006E0DA1"/>
    <w:rsid w:val="006E0ED9"/>
    <w:rsid w:val="006E1273"/>
    <w:rsid w:val="006E12F0"/>
    <w:rsid w:val="006E1CDF"/>
    <w:rsid w:val="006E32B4"/>
    <w:rsid w:val="006E369B"/>
    <w:rsid w:val="006E3FF2"/>
    <w:rsid w:val="006E6220"/>
    <w:rsid w:val="006E64CD"/>
    <w:rsid w:val="006E7156"/>
    <w:rsid w:val="006E7293"/>
    <w:rsid w:val="006E74D7"/>
    <w:rsid w:val="006F0779"/>
    <w:rsid w:val="006F1626"/>
    <w:rsid w:val="006F1B4A"/>
    <w:rsid w:val="006F33B9"/>
    <w:rsid w:val="006F6905"/>
    <w:rsid w:val="006F77AC"/>
    <w:rsid w:val="006F7DB4"/>
    <w:rsid w:val="00700E81"/>
    <w:rsid w:val="00700E8E"/>
    <w:rsid w:val="00701BBC"/>
    <w:rsid w:val="00702314"/>
    <w:rsid w:val="007032AB"/>
    <w:rsid w:val="00703D74"/>
    <w:rsid w:val="00703D81"/>
    <w:rsid w:val="00704B54"/>
    <w:rsid w:val="00707154"/>
    <w:rsid w:val="00707927"/>
    <w:rsid w:val="00707E7C"/>
    <w:rsid w:val="007117A4"/>
    <w:rsid w:val="007119DA"/>
    <w:rsid w:val="00712577"/>
    <w:rsid w:val="00712661"/>
    <w:rsid w:val="007146E1"/>
    <w:rsid w:val="00715214"/>
    <w:rsid w:val="007165F8"/>
    <w:rsid w:val="007178C1"/>
    <w:rsid w:val="00717A43"/>
    <w:rsid w:val="007240C0"/>
    <w:rsid w:val="00724F5C"/>
    <w:rsid w:val="00726CAA"/>
    <w:rsid w:val="007274D8"/>
    <w:rsid w:val="007319D1"/>
    <w:rsid w:val="00731D4C"/>
    <w:rsid w:val="0073393F"/>
    <w:rsid w:val="00734A3C"/>
    <w:rsid w:val="00735D8E"/>
    <w:rsid w:val="00736A69"/>
    <w:rsid w:val="0073753D"/>
    <w:rsid w:val="00737602"/>
    <w:rsid w:val="00737B87"/>
    <w:rsid w:val="007427DB"/>
    <w:rsid w:val="00742FD5"/>
    <w:rsid w:val="00745494"/>
    <w:rsid w:val="007463F1"/>
    <w:rsid w:val="0074742A"/>
    <w:rsid w:val="00747686"/>
    <w:rsid w:val="007502CB"/>
    <w:rsid w:val="007509E3"/>
    <w:rsid w:val="00750C46"/>
    <w:rsid w:val="00751DD5"/>
    <w:rsid w:val="007528A6"/>
    <w:rsid w:val="00754F00"/>
    <w:rsid w:val="0075598D"/>
    <w:rsid w:val="00756272"/>
    <w:rsid w:val="00756BEA"/>
    <w:rsid w:val="00757BCC"/>
    <w:rsid w:val="00760351"/>
    <w:rsid w:val="00760A56"/>
    <w:rsid w:val="00761D61"/>
    <w:rsid w:val="00762B5E"/>
    <w:rsid w:val="00762D91"/>
    <w:rsid w:val="007637F6"/>
    <w:rsid w:val="00763B42"/>
    <w:rsid w:val="00764E40"/>
    <w:rsid w:val="00764EBD"/>
    <w:rsid w:val="00765570"/>
    <w:rsid w:val="007673C0"/>
    <w:rsid w:val="00767AE3"/>
    <w:rsid w:val="007715F2"/>
    <w:rsid w:val="0077160D"/>
    <w:rsid w:val="007747E4"/>
    <w:rsid w:val="007763CD"/>
    <w:rsid w:val="00776789"/>
    <w:rsid w:val="00777774"/>
    <w:rsid w:val="007777E4"/>
    <w:rsid w:val="007802F1"/>
    <w:rsid w:val="007803B3"/>
    <w:rsid w:val="00781E94"/>
    <w:rsid w:val="007830DF"/>
    <w:rsid w:val="00784AE5"/>
    <w:rsid w:val="00785250"/>
    <w:rsid w:val="00785569"/>
    <w:rsid w:val="00785E6A"/>
    <w:rsid w:val="00787200"/>
    <w:rsid w:val="0079086D"/>
    <w:rsid w:val="007910D1"/>
    <w:rsid w:val="007912D6"/>
    <w:rsid w:val="0079186D"/>
    <w:rsid w:val="00791A39"/>
    <w:rsid w:val="00792408"/>
    <w:rsid w:val="00792F2C"/>
    <w:rsid w:val="00792F2D"/>
    <w:rsid w:val="007937A6"/>
    <w:rsid w:val="00793C18"/>
    <w:rsid w:val="00793FB8"/>
    <w:rsid w:val="00794129"/>
    <w:rsid w:val="00796A3C"/>
    <w:rsid w:val="007A03D9"/>
    <w:rsid w:val="007A0D3A"/>
    <w:rsid w:val="007A167A"/>
    <w:rsid w:val="007A27BC"/>
    <w:rsid w:val="007A33C0"/>
    <w:rsid w:val="007A3602"/>
    <w:rsid w:val="007A4501"/>
    <w:rsid w:val="007A4E06"/>
    <w:rsid w:val="007A4E7F"/>
    <w:rsid w:val="007B1122"/>
    <w:rsid w:val="007B32D2"/>
    <w:rsid w:val="007B37C6"/>
    <w:rsid w:val="007B3A27"/>
    <w:rsid w:val="007B40E1"/>
    <w:rsid w:val="007B4865"/>
    <w:rsid w:val="007C11EB"/>
    <w:rsid w:val="007C2ECC"/>
    <w:rsid w:val="007C4B06"/>
    <w:rsid w:val="007C4B6B"/>
    <w:rsid w:val="007C597A"/>
    <w:rsid w:val="007C5AAB"/>
    <w:rsid w:val="007C69C3"/>
    <w:rsid w:val="007D099F"/>
    <w:rsid w:val="007D0B0C"/>
    <w:rsid w:val="007D0FDF"/>
    <w:rsid w:val="007D1413"/>
    <w:rsid w:val="007D3A83"/>
    <w:rsid w:val="007D3B04"/>
    <w:rsid w:val="007D4DE0"/>
    <w:rsid w:val="007D6547"/>
    <w:rsid w:val="007D6966"/>
    <w:rsid w:val="007D74F8"/>
    <w:rsid w:val="007E00F2"/>
    <w:rsid w:val="007E2BEE"/>
    <w:rsid w:val="007E2D89"/>
    <w:rsid w:val="007E3328"/>
    <w:rsid w:val="007E5E83"/>
    <w:rsid w:val="007E7B37"/>
    <w:rsid w:val="007F0F2F"/>
    <w:rsid w:val="007F14DF"/>
    <w:rsid w:val="007F2122"/>
    <w:rsid w:val="007F29E0"/>
    <w:rsid w:val="007F49AA"/>
    <w:rsid w:val="007F4AA5"/>
    <w:rsid w:val="007F4D72"/>
    <w:rsid w:val="007F517F"/>
    <w:rsid w:val="007F7B1E"/>
    <w:rsid w:val="008003EA"/>
    <w:rsid w:val="00801DAC"/>
    <w:rsid w:val="00803189"/>
    <w:rsid w:val="0080361F"/>
    <w:rsid w:val="00803992"/>
    <w:rsid w:val="008051E5"/>
    <w:rsid w:val="00805C0F"/>
    <w:rsid w:val="00806230"/>
    <w:rsid w:val="008072CB"/>
    <w:rsid w:val="0080751F"/>
    <w:rsid w:val="00810E10"/>
    <w:rsid w:val="008130AA"/>
    <w:rsid w:val="00813B66"/>
    <w:rsid w:val="008141CF"/>
    <w:rsid w:val="00815B05"/>
    <w:rsid w:val="00817928"/>
    <w:rsid w:val="008206AD"/>
    <w:rsid w:val="00820DA6"/>
    <w:rsid w:val="008215C3"/>
    <w:rsid w:val="00821992"/>
    <w:rsid w:val="00822AFC"/>
    <w:rsid w:val="00823FB4"/>
    <w:rsid w:val="00824AF4"/>
    <w:rsid w:val="00825169"/>
    <w:rsid w:val="008258E3"/>
    <w:rsid w:val="0082657E"/>
    <w:rsid w:val="00826EB8"/>
    <w:rsid w:val="0083013D"/>
    <w:rsid w:val="00830E5E"/>
    <w:rsid w:val="008313E4"/>
    <w:rsid w:val="008343BB"/>
    <w:rsid w:val="00836495"/>
    <w:rsid w:val="008371B3"/>
    <w:rsid w:val="00837522"/>
    <w:rsid w:val="00837C5E"/>
    <w:rsid w:val="00840689"/>
    <w:rsid w:val="0084089E"/>
    <w:rsid w:val="00840D33"/>
    <w:rsid w:val="00842438"/>
    <w:rsid w:val="008432DB"/>
    <w:rsid w:val="00843534"/>
    <w:rsid w:val="00843B5D"/>
    <w:rsid w:val="008440A3"/>
    <w:rsid w:val="0084478A"/>
    <w:rsid w:val="00845CE5"/>
    <w:rsid w:val="00847995"/>
    <w:rsid w:val="008518FE"/>
    <w:rsid w:val="00851D7A"/>
    <w:rsid w:val="0085240F"/>
    <w:rsid w:val="00852501"/>
    <w:rsid w:val="00852DE3"/>
    <w:rsid w:val="00852EBB"/>
    <w:rsid w:val="00853E6B"/>
    <w:rsid w:val="008542CE"/>
    <w:rsid w:val="008543E9"/>
    <w:rsid w:val="00855DEC"/>
    <w:rsid w:val="00857FFD"/>
    <w:rsid w:val="00860594"/>
    <w:rsid w:val="008605E7"/>
    <w:rsid w:val="00861BB2"/>
    <w:rsid w:val="00861C57"/>
    <w:rsid w:val="00861C80"/>
    <w:rsid w:val="00861E84"/>
    <w:rsid w:val="008637A6"/>
    <w:rsid w:val="00864B59"/>
    <w:rsid w:val="00866341"/>
    <w:rsid w:val="00866677"/>
    <w:rsid w:val="008678CC"/>
    <w:rsid w:val="00870157"/>
    <w:rsid w:val="00877262"/>
    <w:rsid w:val="00881A6F"/>
    <w:rsid w:val="00884145"/>
    <w:rsid w:val="00884AB0"/>
    <w:rsid w:val="008863E3"/>
    <w:rsid w:val="0089089C"/>
    <w:rsid w:val="0089106F"/>
    <w:rsid w:val="00891BF8"/>
    <w:rsid w:val="00891F6F"/>
    <w:rsid w:val="00892930"/>
    <w:rsid w:val="008935AE"/>
    <w:rsid w:val="00893E8A"/>
    <w:rsid w:val="00894555"/>
    <w:rsid w:val="0089573B"/>
    <w:rsid w:val="0089617A"/>
    <w:rsid w:val="00896694"/>
    <w:rsid w:val="008A08DC"/>
    <w:rsid w:val="008A1484"/>
    <w:rsid w:val="008A7388"/>
    <w:rsid w:val="008B08EA"/>
    <w:rsid w:val="008B2314"/>
    <w:rsid w:val="008B290D"/>
    <w:rsid w:val="008B4CB3"/>
    <w:rsid w:val="008B5754"/>
    <w:rsid w:val="008C0BB3"/>
    <w:rsid w:val="008C0BF4"/>
    <w:rsid w:val="008C115B"/>
    <w:rsid w:val="008C1517"/>
    <w:rsid w:val="008C22AC"/>
    <w:rsid w:val="008C2591"/>
    <w:rsid w:val="008C2C0A"/>
    <w:rsid w:val="008C3EC9"/>
    <w:rsid w:val="008C46A0"/>
    <w:rsid w:val="008C4C8F"/>
    <w:rsid w:val="008C4D5C"/>
    <w:rsid w:val="008C62AD"/>
    <w:rsid w:val="008D04B4"/>
    <w:rsid w:val="008D25A8"/>
    <w:rsid w:val="008D312D"/>
    <w:rsid w:val="008D3699"/>
    <w:rsid w:val="008D4B53"/>
    <w:rsid w:val="008D5342"/>
    <w:rsid w:val="008D586F"/>
    <w:rsid w:val="008D61A3"/>
    <w:rsid w:val="008D76D8"/>
    <w:rsid w:val="008D7A86"/>
    <w:rsid w:val="008D7DA2"/>
    <w:rsid w:val="008E00C8"/>
    <w:rsid w:val="008E07F9"/>
    <w:rsid w:val="008E3F6C"/>
    <w:rsid w:val="008E563E"/>
    <w:rsid w:val="008E5E72"/>
    <w:rsid w:val="008F19FE"/>
    <w:rsid w:val="008F3F25"/>
    <w:rsid w:val="008F47B0"/>
    <w:rsid w:val="008F5C2F"/>
    <w:rsid w:val="008F66B8"/>
    <w:rsid w:val="008F790B"/>
    <w:rsid w:val="00900241"/>
    <w:rsid w:val="0090121D"/>
    <w:rsid w:val="00901F8A"/>
    <w:rsid w:val="00903F73"/>
    <w:rsid w:val="009053BD"/>
    <w:rsid w:val="0090618D"/>
    <w:rsid w:val="00906511"/>
    <w:rsid w:val="00906B28"/>
    <w:rsid w:val="0090752E"/>
    <w:rsid w:val="0090792C"/>
    <w:rsid w:val="00907D90"/>
    <w:rsid w:val="009112F9"/>
    <w:rsid w:val="0091149A"/>
    <w:rsid w:val="00912375"/>
    <w:rsid w:val="00913585"/>
    <w:rsid w:val="00916D0A"/>
    <w:rsid w:val="009178A6"/>
    <w:rsid w:val="00920554"/>
    <w:rsid w:val="0092061B"/>
    <w:rsid w:val="00923997"/>
    <w:rsid w:val="00924258"/>
    <w:rsid w:val="00925067"/>
    <w:rsid w:val="009252A6"/>
    <w:rsid w:val="00926BFC"/>
    <w:rsid w:val="009276D4"/>
    <w:rsid w:val="00932FD7"/>
    <w:rsid w:val="0093382B"/>
    <w:rsid w:val="00934B3D"/>
    <w:rsid w:val="00940220"/>
    <w:rsid w:val="00941424"/>
    <w:rsid w:val="00942DFC"/>
    <w:rsid w:val="0094534C"/>
    <w:rsid w:val="00945599"/>
    <w:rsid w:val="00945657"/>
    <w:rsid w:val="00946010"/>
    <w:rsid w:val="0094647B"/>
    <w:rsid w:val="00950526"/>
    <w:rsid w:val="00951F60"/>
    <w:rsid w:val="00952EBF"/>
    <w:rsid w:val="009559ED"/>
    <w:rsid w:val="00955F30"/>
    <w:rsid w:val="00955FB0"/>
    <w:rsid w:val="00957743"/>
    <w:rsid w:val="0096061D"/>
    <w:rsid w:val="00961112"/>
    <w:rsid w:val="00961A97"/>
    <w:rsid w:val="00961E2D"/>
    <w:rsid w:val="00961F31"/>
    <w:rsid w:val="00962696"/>
    <w:rsid w:val="009627AF"/>
    <w:rsid w:val="0097004B"/>
    <w:rsid w:val="00970223"/>
    <w:rsid w:val="00970E73"/>
    <w:rsid w:val="009726F1"/>
    <w:rsid w:val="00972DC1"/>
    <w:rsid w:val="00973253"/>
    <w:rsid w:val="009733DA"/>
    <w:rsid w:val="009748CF"/>
    <w:rsid w:val="00974ED5"/>
    <w:rsid w:val="0097523D"/>
    <w:rsid w:val="009774A9"/>
    <w:rsid w:val="00977A63"/>
    <w:rsid w:val="00980702"/>
    <w:rsid w:val="00981ED7"/>
    <w:rsid w:val="009851B8"/>
    <w:rsid w:val="00986776"/>
    <w:rsid w:val="00986D5E"/>
    <w:rsid w:val="00987CC5"/>
    <w:rsid w:val="00992731"/>
    <w:rsid w:val="00993441"/>
    <w:rsid w:val="00995E5F"/>
    <w:rsid w:val="0099681B"/>
    <w:rsid w:val="00996C9C"/>
    <w:rsid w:val="00997987"/>
    <w:rsid w:val="009A3CCE"/>
    <w:rsid w:val="009A3E66"/>
    <w:rsid w:val="009A6C34"/>
    <w:rsid w:val="009A75AD"/>
    <w:rsid w:val="009A7E2D"/>
    <w:rsid w:val="009B1080"/>
    <w:rsid w:val="009B252F"/>
    <w:rsid w:val="009B3079"/>
    <w:rsid w:val="009B50C7"/>
    <w:rsid w:val="009B7216"/>
    <w:rsid w:val="009B7A9D"/>
    <w:rsid w:val="009C03D6"/>
    <w:rsid w:val="009C1B7E"/>
    <w:rsid w:val="009C1DAE"/>
    <w:rsid w:val="009C2A1A"/>
    <w:rsid w:val="009C4323"/>
    <w:rsid w:val="009C4835"/>
    <w:rsid w:val="009C4BDA"/>
    <w:rsid w:val="009C50B8"/>
    <w:rsid w:val="009C58B9"/>
    <w:rsid w:val="009C604C"/>
    <w:rsid w:val="009C6E8B"/>
    <w:rsid w:val="009D27F0"/>
    <w:rsid w:val="009D3311"/>
    <w:rsid w:val="009D3AF5"/>
    <w:rsid w:val="009D5C6F"/>
    <w:rsid w:val="009D7E6D"/>
    <w:rsid w:val="009E0632"/>
    <w:rsid w:val="009E0653"/>
    <w:rsid w:val="009E068B"/>
    <w:rsid w:val="009E1184"/>
    <w:rsid w:val="009E1204"/>
    <w:rsid w:val="009E1BF9"/>
    <w:rsid w:val="009E2C61"/>
    <w:rsid w:val="009E38D5"/>
    <w:rsid w:val="009E57E5"/>
    <w:rsid w:val="009E5E4E"/>
    <w:rsid w:val="009E638A"/>
    <w:rsid w:val="009E679D"/>
    <w:rsid w:val="009E778B"/>
    <w:rsid w:val="009E7E8C"/>
    <w:rsid w:val="009E7F43"/>
    <w:rsid w:val="009F044B"/>
    <w:rsid w:val="009F1295"/>
    <w:rsid w:val="009F21EA"/>
    <w:rsid w:val="009F2BCD"/>
    <w:rsid w:val="009F438F"/>
    <w:rsid w:val="009F5F75"/>
    <w:rsid w:val="00A0076A"/>
    <w:rsid w:val="00A00A70"/>
    <w:rsid w:val="00A01F50"/>
    <w:rsid w:val="00A034E2"/>
    <w:rsid w:val="00A03570"/>
    <w:rsid w:val="00A04505"/>
    <w:rsid w:val="00A04B22"/>
    <w:rsid w:val="00A054FC"/>
    <w:rsid w:val="00A05573"/>
    <w:rsid w:val="00A05647"/>
    <w:rsid w:val="00A07CD5"/>
    <w:rsid w:val="00A14F01"/>
    <w:rsid w:val="00A1536D"/>
    <w:rsid w:val="00A179FC"/>
    <w:rsid w:val="00A20233"/>
    <w:rsid w:val="00A20C13"/>
    <w:rsid w:val="00A22C76"/>
    <w:rsid w:val="00A23805"/>
    <w:rsid w:val="00A24C32"/>
    <w:rsid w:val="00A251A2"/>
    <w:rsid w:val="00A25CA5"/>
    <w:rsid w:val="00A2608D"/>
    <w:rsid w:val="00A26CEA"/>
    <w:rsid w:val="00A33909"/>
    <w:rsid w:val="00A34E99"/>
    <w:rsid w:val="00A36B1C"/>
    <w:rsid w:val="00A3712F"/>
    <w:rsid w:val="00A37D82"/>
    <w:rsid w:val="00A37E56"/>
    <w:rsid w:val="00A408FF"/>
    <w:rsid w:val="00A4395E"/>
    <w:rsid w:val="00A43AE8"/>
    <w:rsid w:val="00A43BE7"/>
    <w:rsid w:val="00A43E05"/>
    <w:rsid w:val="00A4478C"/>
    <w:rsid w:val="00A45771"/>
    <w:rsid w:val="00A45A68"/>
    <w:rsid w:val="00A45D80"/>
    <w:rsid w:val="00A4614E"/>
    <w:rsid w:val="00A4660D"/>
    <w:rsid w:val="00A5106C"/>
    <w:rsid w:val="00A51802"/>
    <w:rsid w:val="00A54CB9"/>
    <w:rsid w:val="00A5646D"/>
    <w:rsid w:val="00A6116A"/>
    <w:rsid w:val="00A61C46"/>
    <w:rsid w:val="00A62D5E"/>
    <w:rsid w:val="00A62DB7"/>
    <w:rsid w:val="00A63939"/>
    <w:rsid w:val="00A63FB9"/>
    <w:rsid w:val="00A64230"/>
    <w:rsid w:val="00A66384"/>
    <w:rsid w:val="00A6679A"/>
    <w:rsid w:val="00A66E08"/>
    <w:rsid w:val="00A72837"/>
    <w:rsid w:val="00A74564"/>
    <w:rsid w:val="00A74719"/>
    <w:rsid w:val="00A753E2"/>
    <w:rsid w:val="00A7587A"/>
    <w:rsid w:val="00A77FDF"/>
    <w:rsid w:val="00A81B90"/>
    <w:rsid w:val="00A840CA"/>
    <w:rsid w:val="00A90898"/>
    <w:rsid w:val="00A91347"/>
    <w:rsid w:val="00A920E5"/>
    <w:rsid w:val="00A925B3"/>
    <w:rsid w:val="00A953E4"/>
    <w:rsid w:val="00A95D3C"/>
    <w:rsid w:val="00A962AF"/>
    <w:rsid w:val="00A9667B"/>
    <w:rsid w:val="00A973BF"/>
    <w:rsid w:val="00AA0BC0"/>
    <w:rsid w:val="00AA2574"/>
    <w:rsid w:val="00AA5565"/>
    <w:rsid w:val="00AA6090"/>
    <w:rsid w:val="00AA6213"/>
    <w:rsid w:val="00AB075E"/>
    <w:rsid w:val="00AB0879"/>
    <w:rsid w:val="00AB0A8A"/>
    <w:rsid w:val="00AB1C96"/>
    <w:rsid w:val="00AB28B2"/>
    <w:rsid w:val="00AB29AA"/>
    <w:rsid w:val="00AB3199"/>
    <w:rsid w:val="00AB43C1"/>
    <w:rsid w:val="00AB5CBB"/>
    <w:rsid w:val="00AB6044"/>
    <w:rsid w:val="00AB60A7"/>
    <w:rsid w:val="00AB611E"/>
    <w:rsid w:val="00AC0D32"/>
    <w:rsid w:val="00AC1FFD"/>
    <w:rsid w:val="00AC327F"/>
    <w:rsid w:val="00AC5D3E"/>
    <w:rsid w:val="00AC5F6A"/>
    <w:rsid w:val="00AD2042"/>
    <w:rsid w:val="00AD32D2"/>
    <w:rsid w:val="00AD3C4F"/>
    <w:rsid w:val="00AD7862"/>
    <w:rsid w:val="00AE022C"/>
    <w:rsid w:val="00AE0407"/>
    <w:rsid w:val="00AE1670"/>
    <w:rsid w:val="00AE2B9C"/>
    <w:rsid w:val="00AE3E3A"/>
    <w:rsid w:val="00AE4D4F"/>
    <w:rsid w:val="00AE51D7"/>
    <w:rsid w:val="00AE69AC"/>
    <w:rsid w:val="00AF064C"/>
    <w:rsid w:val="00AF0B8A"/>
    <w:rsid w:val="00AF2754"/>
    <w:rsid w:val="00AF4859"/>
    <w:rsid w:val="00AF579B"/>
    <w:rsid w:val="00AF5957"/>
    <w:rsid w:val="00AF7BC1"/>
    <w:rsid w:val="00B038E2"/>
    <w:rsid w:val="00B05A31"/>
    <w:rsid w:val="00B073D9"/>
    <w:rsid w:val="00B07864"/>
    <w:rsid w:val="00B07C2B"/>
    <w:rsid w:val="00B07D60"/>
    <w:rsid w:val="00B1007F"/>
    <w:rsid w:val="00B10497"/>
    <w:rsid w:val="00B10749"/>
    <w:rsid w:val="00B108E8"/>
    <w:rsid w:val="00B115D4"/>
    <w:rsid w:val="00B12312"/>
    <w:rsid w:val="00B123BD"/>
    <w:rsid w:val="00B12519"/>
    <w:rsid w:val="00B12BE0"/>
    <w:rsid w:val="00B13FEA"/>
    <w:rsid w:val="00B14F4D"/>
    <w:rsid w:val="00B152A6"/>
    <w:rsid w:val="00B1764B"/>
    <w:rsid w:val="00B22C2C"/>
    <w:rsid w:val="00B22FB1"/>
    <w:rsid w:val="00B231DD"/>
    <w:rsid w:val="00B24425"/>
    <w:rsid w:val="00B24566"/>
    <w:rsid w:val="00B24E46"/>
    <w:rsid w:val="00B256D8"/>
    <w:rsid w:val="00B26E5C"/>
    <w:rsid w:val="00B30171"/>
    <w:rsid w:val="00B30FD1"/>
    <w:rsid w:val="00B32208"/>
    <w:rsid w:val="00B32603"/>
    <w:rsid w:val="00B32DF7"/>
    <w:rsid w:val="00B33126"/>
    <w:rsid w:val="00B332BE"/>
    <w:rsid w:val="00B335F0"/>
    <w:rsid w:val="00B343F6"/>
    <w:rsid w:val="00B3709E"/>
    <w:rsid w:val="00B3787B"/>
    <w:rsid w:val="00B37CCB"/>
    <w:rsid w:val="00B40814"/>
    <w:rsid w:val="00B413B4"/>
    <w:rsid w:val="00B426F0"/>
    <w:rsid w:val="00B42E37"/>
    <w:rsid w:val="00B42F49"/>
    <w:rsid w:val="00B44D42"/>
    <w:rsid w:val="00B45215"/>
    <w:rsid w:val="00B45424"/>
    <w:rsid w:val="00B45571"/>
    <w:rsid w:val="00B4563C"/>
    <w:rsid w:val="00B45E45"/>
    <w:rsid w:val="00B46420"/>
    <w:rsid w:val="00B46602"/>
    <w:rsid w:val="00B46EA7"/>
    <w:rsid w:val="00B4749D"/>
    <w:rsid w:val="00B50146"/>
    <w:rsid w:val="00B50586"/>
    <w:rsid w:val="00B52EDD"/>
    <w:rsid w:val="00B54463"/>
    <w:rsid w:val="00B57854"/>
    <w:rsid w:val="00B607BB"/>
    <w:rsid w:val="00B62136"/>
    <w:rsid w:val="00B622E6"/>
    <w:rsid w:val="00B64B9C"/>
    <w:rsid w:val="00B6677B"/>
    <w:rsid w:val="00B66BE5"/>
    <w:rsid w:val="00B70260"/>
    <w:rsid w:val="00B71462"/>
    <w:rsid w:val="00B73F69"/>
    <w:rsid w:val="00B7403F"/>
    <w:rsid w:val="00B757B3"/>
    <w:rsid w:val="00B76264"/>
    <w:rsid w:val="00B763B9"/>
    <w:rsid w:val="00B76972"/>
    <w:rsid w:val="00B77B84"/>
    <w:rsid w:val="00B8157E"/>
    <w:rsid w:val="00B815B1"/>
    <w:rsid w:val="00B84396"/>
    <w:rsid w:val="00B86714"/>
    <w:rsid w:val="00B86720"/>
    <w:rsid w:val="00B91CD5"/>
    <w:rsid w:val="00B9204C"/>
    <w:rsid w:val="00B92917"/>
    <w:rsid w:val="00B95A6A"/>
    <w:rsid w:val="00B97937"/>
    <w:rsid w:val="00B97E42"/>
    <w:rsid w:val="00B97EFD"/>
    <w:rsid w:val="00BA00B2"/>
    <w:rsid w:val="00BA155C"/>
    <w:rsid w:val="00BA1AD9"/>
    <w:rsid w:val="00BA241D"/>
    <w:rsid w:val="00BA494D"/>
    <w:rsid w:val="00BA4E8E"/>
    <w:rsid w:val="00BA56DF"/>
    <w:rsid w:val="00BA621D"/>
    <w:rsid w:val="00BA6BC1"/>
    <w:rsid w:val="00BA708D"/>
    <w:rsid w:val="00BB1B45"/>
    <w:rsid w:val="00BB1EA3"/>
    <w:rsid w:val="00BB35CA"/>
    <w:rsid w:val="00BB3CA1"/>
    <w:rsid w:val="00BB3E6E"/>
    <w:rsid w:val="00BB460F"/>
    <w:rsid w:val="00BB53B4"/>
    <w:rsid w:val="00BB7621"/>
    <w:rsid w:val="00BB79E0"/>
    <w:rsid w:val="00BB7FF8"/>
    <w:rsid w:val="00BC1102"/>
    <w:rsid w:val="00BC1860"/>
    <w:rsid w:val="00BC2388"/>
    <w:rsid w:val="00BC3D27"/>
    <w:rsid w:val="00BD0FF2"/>
    <w:rsid w:val="00BD13D1"/>
    <w:rsid w:val="00BD658C"/>
    <w:rsid w:val="00BD7730"/>
    <w:rsid w:val="00BD7B8C"/>
    <w:rsid w:val="00BE084B"/>
    <w:rsid w:val="00BE1C6C"/>
    <w:rsid w:val="00BE285A"/>
    <w:rsid w:val="00BE59DE"/>
    <w:rsid w:val="00BE629D"/>
    <w:rsid w:val="00BE7288"/>
    <w:rsid w:val="00BE72E2"/>
    <w:rsid w:val="00BE734A"/>
    <w:rsid w:val="00BE7350"/>
    <w:rsid w:val="00BF0CFD"/>
    <w:rsid w:val="00BF138C"/>
    <w:rsid w:val="00BF2FD9"/>
    <w:rsid w:val="00BF4034"/>
    <w:rsid w:val="00BF4420"/>
    <w:rsid w:val="00BF593E"/>
    <w:rsid w:val="00BF6047"/>
    <w:rsid w:val="00C0096D"/>
    <w:rsid w:val="00C01507"/>
    <w:rsid w:val="00C01C98"/>
    <w:rsid w:val="00C01D28"/>
    <w:rsid w:val="00C0507E"/>
    <w:rsid w:val="00C052FB"/>
    <w:rsid w:val="00C058BA"/>
    <w:rsid w:val="00C05A74"/>
    <w:rsid w:val="00C05D31"/>
    <w:rsid w:val="00C0760F"/>
    <w:rsid w:val="00C07B40"/>
    <w:rsid w:val="00C07ED0"/>
    <w:rsid w:val="00C07F64"/>
    <w:rsid w:val="00C1164A"/>
    <w:rsid w:val="00C12336"/>
    <w:rsid w:val="00C13B56"/>
    <w:rsid w:val="00C14E76"/>
    <w:rsid w:val="00C156BC"/>
    <w:rsid w:val="00C15BCA"/>
    <w:rsid w:val="00C15D78"/>
    <w:rsid w:val="00C16306"/>
    <w:rsid w:val="00C167BD"/>
    <w:rsid w:val="00C16CCB"/>
    <w:rsid w:val="00C174ED"/>
    <w:rsid w:val="00C17FBD"/>
    <w:rsid w:val="00C20336"/>
    <w:rsid w:val="00C20724"/>
    <w:rsid w:val="00C213F1"/>
    <w:rsid w:val="00C21AF1"/>
    <w:rsid w:val="00C23EE0"/>
    <w:rsid w:val="00C274AF"/>
    <w:rsid w:val="00C31BC3"/>
    <w:rsid w:val="00C32CEA"/>
    <w:rsid w:val="00C32EDF"/>
    <w:rsid w:val="00C34EE1"/>
    <w:rsid w:val="00C3679D"/>
    <w:rsid w:val="00C40862"/>
    <w:rsid w:val="00C41459"/>
    <w:rsid w:val="00C41E66"/>
    <w:rsid w:val="00C46769"/>
    <w:rsid w:val="00C469FC"/>
    <w:rsid w:val="00C51BD5"/>
    <w:rsid w:val="00C51C18"/>
    <w:rsid w:val="00C5225F"/>
    <w:rsid w:val="00C53548"/>
    <w:rsid w:val="00C53B76"/>
    <w:rsid w:val="00C56696"/>
    <w:rsid w:val="00C5674D"/>
    <w:rsid w:val="00C6139F"/>
    <w:rsid w:val="00C62BB5"/>
    <w:rsid w:val="00C63AAB"/>
    <w:rsid w:val="00C63F6F"/>
    <w:rsid w:val="00C64151"/>
    <w:rsid w:val="00C643C1"/>
    <w:rsid w:val="00C64DA4"/>
    <w:rsid w:val="00C66EA9"/>
    <w:rsid w:val="00C67499"/>
    <w:rsid w:val="00C71908"/>
    <w:rsid w:val="00C71DC1"/>
    <w:rsid w:val="00C72FEC"/>
    <w:rsid w:val="00C73CEB"/>
    <w:rsid w:val="00C7447E"/>
    <w:rsid w:val="00C74ED5"/>
    <w:rsid w:val="00C7554E"/>
    <w:rsid w:val="00C7574F"/>
    <w:rsid w:val="00C77C17"/>
    <w:rsid w:val="00C8158E"/>
    <w:rsid w:val="00C83DC0"/>
    <w:rsid w:val="00C84559"/>
    <w:rsid w:val="00C85C5A"/>
    <w:rsid w:val="00C8625F"/>
    <w:rsid w:val="00C86772"/>
    <w:rsid w:val="00C90643"/>
    <w:rsid w:val="00C9102F"/>
    <w:rsid w:val="00C924EA"/>
    <w:rsid w:val="00C93B5A"/>
    <w:rsid w:val="00C93B91"/>
    <w:rsid w:val="00C94A5B"/>
    <w:rsid w:val="00C94C47"/>
    <w:rsid w:val="00C955C2"/>
    <w:rsid w:val="00C9581D"/>
    <w:rsid w:val="00C978ED"/>
    <w:rsid w:val="00CA00CD"/>
    <w:rsid w:val="00CA1A11"/>
    <w:rsid w:val="00CA1F39"/>
    <w:rsid w:val="00CA3CFD"/>
    <w:rsid w:val="00CA4502"/>
    <w:rsid w:val="00CA45DB"/>
    <w:rsid w:val="00CA4A47"/>
    <w:rsid w:val="00CA5FE5"/>
    <w:rsid w:val="00CA67BE"/>
    <w:rsid w:val="00CA682C"/>
    <w:rsid w:val="00CB2216"/>
    <w:rsid w:val="00CB50D4"/>
    <w:rsid w:val="00CB79B0"/>
    <w:rsid w:val="00CB7EB9"/>
    <w:rsid w:val="00CC120D"/>
    <w:rsid w:val="00CC2AD8"/>
    <w:rsid w:val="00CC481E"/>
    <w:rsid w:val="00CC796B"/>
    <w:rsid w:val="00CC79B2"/>
    <w:rsid w:val="00CD110B"/>
    <w:rsid w:val="00CD2D0F"/>
    <w:rsid w:val="00CD392F"/>
    <w:rsid w:val="00CD3C72"/>
    <w:rsid w:val="00CD4B27"/>
    <w:rsid w:val="00CD4EEF"/>
    <w:rsid w:val="00CD6AA2"/>
    <w:rsid w:val="00CE2014"/>
    <w:rsid w:val="00CE2C87"/>
    <w:rsid w:val="00CE36E5"/>
    <w:rsid w:val="00CE3920"/>
    <w:rsid w:val="00CE4A7A"/>
    <w:rsid w:val="00CE617F"/>
    <w:rsid w:val="00CE6642"/>
    <w:rsid w:val="00CE69A6"/>
    <w:rsid w:val="00CE7072"/>
    <w:rsid w:val="00CF01DE"/>
    <w:rsid w:val="00CF094C"/>
    <w:rsid w:val="00CF0EF6"/>
    <w:rsid w:val="00CF1079"/>
    <w:rsid w:val="00CF1099"/>
    <w:rsid w:val="00CF660D"/>
    <w:rsid w:val="00D009AE"/>
    <w:rsid w:val="00D01130"/>
    <w:rsid w:val="00D036F4"/>
    <w:rsid w:val="00D0443D"/>
    <w:rsid w:val="00D06652"/>
    <w:rsid w:val="00D10351"/>
    <w:rsid w:val="00D1083A"/>
    <w:rsid w:val="00D11B4B"/>
    <w:rsid w:val="00D122AA"/>
    <w:rsid w:val="00D141A9"/>
    <w:rsid w:val="00D1514C"/>
    <w:rsid w:val="00D153DF"/>
    <w:rsid w:val="00D16210"/>
    <w:rsid w:val="00D200C2"/>
    <w:rsid w:val="00D20657"/>
    <w:rsid w:val="00D20CEF"/>
    <w:rsid w:val="00D24E54"/>
    <w:rsid w:val="00D26C8C"/>
    <w:rsid w:val="00D26D75"/>
    <w:rsid w:val="00D309C3"/>
    <w:rsid w:val="00D324F2"/>
    <w:rsid w:val="00D369A8"/>
    <w:rsid w:val="00D378BF"/>
    <w:rsid w:val="00D4180C"/>
    <w:rsid w:val="00D424D3"/>
    <w:rsid w:val="00D426F0"/>
    <w:rsid w:val="00D44D20"/>
    <w:rsid w:val="00D46990"/>
    <w:rsid w:val="00D50303"/>
    <w:rsid w:val="00D50638"/>
    <w:rsid w:val="00D51411"/>
    <w:rsid w:val="00D519C1"/>
    <w:rsid w:val="00D524E4"/>
    <w:rsid w:val="00D55141"/>
    <w:rsid w:val="00D55764"/>
    <w:rsid w:val="00D56D0D"/>
    <w:rsid w:val="00D56F64"/>
    <w:rsid w:val="00D60157"/>
    <w:rsid w:val="00D613B8"/>
    <w:rsid w:val="00D62A0C"/>
    <w:rsid w:val="00D62D20"/>
    <w:rsid w:val="00D63BC9"/>
    <w:rsid w:val="00D655A8"/>
    <w:rsid w:val="00D65B39"/>
    <w:rsid w:val="00D678CF"/>
    <w:rsid w:val="00D70520"/>
    <w:rsid w:val="00D70EA9"/>
    <w:rsid w:val="00D7124A"/>
    <w:rsid w:val="00D71496"/>
    <w:rsid w:val="00D7190D"/>
    <w:rsid w:val="00D71FA7"/>
    <w:rsid w:val="00D736D4"/>
    <w:rsid w:val="00D73D30"/>
    <w:rsid w:val="00D74399"/>
    <w:rsid w:val="00D76702"/>
    <w:rsid w:val="00D77C77"/>
    <w:rsid w:val="00D77F29"/>
    <w:rsid w:val="00D80589"/>
    <w:rsid w:val="00D8345F"/>
    <w:rsid w:val="00D83C7F"/>
    <w:rsid w:val="00D83D76"/>
    <w:rsid w:val="00D855F0"/>
    <w:rsid w:val="00D861EA"/>
    <w:rsid w:val="00D86BF4"/>
    <w:rsid w:val="00D86E54"/>
    <w:rsid w:val="00D87E42"/>
    <w:rsid w:val="00D90F6F"/>
    <w:rsid w:val="00D916A2"/>
    <w:rsid w:val="00D91A5F"/>
    <w:rsid w:val="00D91AD3"/>
    <w:rsid w:val="00D94921"/>
    <w:rsid w:val="00D966B1"/>
    <w:rsid w:val="00D96980"/>
    <w:rsid w:val="00D97740"/>
    <w:rsid w:val="00DA0352"/>
    <w:rsid w:val="00DA1830"/>
    <w:rsid w:val="00DA18FC"/>
    <w:rsid w:val="00DA2446"/>
    <w:rsid w:val="00DA28EF"/>
    <w:rsid w:val="00DA39C1"/>
    <w:rsid w:val="00DA4398"/>
    <w:rsid w:val="00DA677E"/>
    <w:rsid w:val="00DA759F"/>
    <w:rsid w:val="00DA7C57"/>
    <w:rsid w:val="00DB0001"/>
    <w:rsid w:val="00DB1762"/>
    <w:rsid w:val="00DB2198"/>
    <w:rsid w:val="00DB2A89"/>
    <w:rsid w:val="00DB2D62"/>
    <w:rsid w:val="00DB2E5F"/>
    <w:rsid w:val="00DB565D"/>
    <w:rsid w:val="00DB57A7"/>
    <w:rsid w:val="00DB7E0C"/>
    <w:rsid w:val="00DC19CC"/>
    <w:rsid w:val="00DC22BC"/>
    <w:rsid w:val="00DC2337"/>
    <w:rsid w:val="00DC4FB3"/>
    <w:rsid w:val="00DC70B7"/>
    <w:rsid w:val="00DC70EC"/>
    <w:rsid w:val="00DC7A4B"/>
    <w:rsid w:val="00DD1D10"/>
    <w:rsid w:val="00DD2A1B"/>
    <w:rsid w:val="00DD2F60"/>
    <w:rsid w:val="00DD4C1A"/>
    <w:rsid w:val="00DD5332"/>
    <w:rsid w:val="00DD67F3"/>
    <w:rsid w:val="00DD72A1"/>
    <w:rsid w:val="00DE0728"/>
    <w:rsid w:val="00DE0EB1"/>
    <w:rsid w:val="00DE317C"/>
    <w:rsid w:val="00DE5F15"/>
    <w:rsid w:val="00DE79F7"/>
    <w:rsid w:val="00DF213B"/>
    <w:rsid w:val="00DF2B33"/>
    <w:rsid w:val="00DF419B"/>
    <w:rsid w:val="00DF51D7"/>
    <w:rsid w:val="00DF570D"/>
    <w:rsid w:val="00DF624C"/>
    <w:rsid w:val="00DF6313"/>
    <w:rsid w:val="00E00524"/>
    <w:rsid w:val="00E005C0"/>
    <w:rsid w:val="00E02E20"/>
    <w:rsid w:val="00E0322A"/>
    <w:rsid w:val="00E037E0"/>
    <w:rsid w:val="00E03E90"/>
    <w:rsid w:val="00E05B79"/>
    <w:rsid w:val="00E06963"/>
    <w:rsid w:val="00E07E32"/>
    <w:rsid w:val="00E1133A"/>
    <w:rsid w:val="00E11BA1"/>
    <w:rsid w:val="00E12C9C"/>
    <w:rsid w:val="00E13750"/>
    <w:rsid w:val="00E1375E"/>
    <w:rsid w:val="00E14848"/>
    <w:rsid w:val="00E15BDD"/>
    <w:rsid w:val="00E16008"/>
    <w:rsid w:val="00E16DA3"/>
    <w:rsid w:val="00E21A3C"/>
    <w:rsid w:val="00E22194"/>
    <w:rsid w:val="00E22206"/>
    <w:rsid w:val="00E222E0"/>
    <w:rsid w:val="00E234E5"/>
    <w:rsid w:val="00E25090"/>
    <w:rsid w:val="00E25668"/>
    <w:rsid w:val="00E2571E"/>
    <w:rsid w:val="00E25977"/>
    <w:rsid w:val="00E262CF"/>
    <w:rsid w:val="00E26B74"/>
    <w:rsid w:val="00E277A4"/>
    <w:rsid w:val="00E31B29"/>
    <w:rsid w:val="00E31D73"/>
    <w:rsid w:val="00E338C6"/>
    <w:rsid w:val="00E34C09"/>
    <w:rsid w:val="00E373F3"/>
    <w:rsid w:val="00E37AD8"/>
    <w:rsid w:val="00E37B5F"/>
    <w:rsid w:val="00E40575"/>
    <w:rsid w:val="00E406F9"/>
    <w:rsid w:val="00E429FC"/>
    <w:rsid w:val="00E42D66"/>
    <w:rsid w:val="00E44015"/>
    <w:rsid w:val="00E445B1"/>
    <w:rsid w:val="00E45062"/>
    <w:rsid w:val="00E45F2E"/>
    <w:rsid w:val="00E50807"/>
    <w:rsid w:val="00E50CF1"/>
    <w:rsid w:val="00E522F4"/>
    <w:rsid w:val="00E5312B"/>
    <w:rsid w:val="00E5449D"/>
    <w:rsid w:val="00E558F5"/>
    <w:rsid w:val="00E55991"/>
    <w:rsid w:val="00E55AEB"/>
    <w:rsid w:val="00E56D26"/>
    <w:rsid w:val="00E6162D"/>
    <w:rsid w:val="00E634F4"/>
    <w:rsid w:val="00E638B6"/>
    <w:rsid w:val="00E65573"/>
    <w:rsid w:val="00E6675D"/>
    <w:rsid w:val="00E67473"/>
    <w:rsid w:val="00E706AB"/>
    <w:rsid w:val="00E71B2C"/>
    <w:rsid w:val="00E72A29"/>
    <w:rsid w:val="00E72F11"/>
    <w:rsid w:val="00E740F3"/>
    <w:rsid w:val="00E75E76"/>
    <w:rsid w:val="00E77A49"/>
    <w:rsid w:val="00E77C00"/>
    <w:rsid w:val="00E811BA"/>
    <w:rsid w:val="00E81B3A"/>
    <w:rsid w:val="00E821DD"/>
    <w:rsid w:val="00E84CBD"/>
    <w:rsid w:val="00E85993"/>
    <w:rsid w:val="00E86C3E"/>
    <w:rsid w:val="00E90A1A"/>
    <w:rsid w:val="00E9111C"/>
    <w:rsid w:val="00E916DF"/>
    <w:rsid w:val="00E918F0"/>
    <w:rsid w:val="00E92D79"/>
    <w:rsid w:val="00E93401"/>
    <w:rsid w:val="00E934FE"/>
    <w:rsid w:val="00E948E5"/>
    <w:rsid w:val="00E94E31"/>
    <w:rsid w:val="00E95557"/>
    <w:rsid w:val="00E9664E"/>
    <w:rsid w:val="00E97699"/>
    <w:rsid w:val="00EA04C6"/>
    <w:rsid w:val="00EA0510"/>
    <w:rsid w:val="00EA1247"/>
    <w:rsid w:val="00EA1A8E"/>
    <w:rsid w:val="00EA3570"/>
    <w:rsid w:val="00EA3C34"/>
    <w:rsid w:val="00EA44BF"/>
    <w:rsid w:val="00EA44C1"/>
    <w:rsid w:val="00EA463E"/>
    <w:rsid w:val="00EA651B"/>
    <w:rsid w:val="00EA680A"/>
    <w:rsid w:val="00EA6F5E"/>
    <w:rsid w:val="00EA7599"/>
    <w:rsid w:val="00EB197D"/>
    <w:rsid w:val="00EB293C"/>
    <w:rsid w:val="00EB2BE0"/>
    <w:rsid w:val="00EB6FDF"/>
    <w:rsid w:val="00EB704D"/>
    <w:rsid w:val="00EB7077"/>
    <w:rsid w:val="00EB724E"/>
    <w:rsid w:val="00EB78B2"/>
    <w:rsid w:val="00EC100E"/>
    <w:rsid w:val="00EC172B"/>
    <w:rsid w:val="00EC1C2C"/>
    <w:rsid w:val="00EC3DD1"/>
    <w:rsid w:val="00EC402B"/>
    <w:rsid w:val="00EC458C"/>
    <w:rsid w:val="00EC4843"/>
    <w:rsid w:val="00EC496C"/>
    <w:rsid w:val="00EC5A36"/>
    <w:rsid w:val="00EC635D"/>
    <w:rsid w:val="00EC7CEA"/>
    <w:rsid w:val="00EC7D53"/>
    <w:rsid w:val="00ED0565"/>
    <w:rsid w:val="00ED08F0"/>
    <w:rsid w:val="00ED2B1C"/>
    <w:rsid w:val="00ED6BA9"/>
    <w:rsid w:val="00ED6C1D"/>
    <w:rsid w:val="00ED7533"/>
    <w:rsid w:val="00ED7D43"/>
    <w:rsid w:val="00EE564B"/>
    <w:rsid w:val="00EE66F4"/>
    <w:rsid w:val="00EE7ED7"/>
    <w:rsid w:val="00EF0769"/>
    <w:rsid w:val="00EF08CD"/>
    <w:rsid w:val="00EF16A4"/>
    <w:rsid w:val="00EF1E11"/>
    <w:rsid w:val="00EF4970"/>
    <w:rsid w:val="00EF5208"/>
    <w:rsid w:val="00EF6C92"/>
    <w:rsid w:val="00EF72C8"/>
    <w:rsid w:val="00F000F0"/>
    <w:rsid w:val="00F00823"/>
    <w:rsid w:val="00F00966"/>
    <w:rsid w:val="00F026A7"/>
    <w:rsid w:val="00F03E6B"/>
    <w:rsid w:val="00F047FD"/>
    <w:rsid w:val="00F04870"/>
    <w:rsid w:val="00F056B3"/>
    <w:rsid w:val="00F1040C"/>
    <w:rsid w:val="00F10F2A"/>
    <w:rsid w:val="00F11080"/>
    <w:rsid w:val="00F1172D"/>
    <w:rsid w:val="00F118FB"/>
    <w:rsid w:val="00F132DA"/>
    <w:rsid w:val="00F13A11"/>
    <w:rsid w:val="00F1482B"/>
    <w:rsid w:val="00F155C3"/>
    <w:rsid w:val="00F16361"/>
    <w:rsid w:val="00F17447"/>
    <w:rsid w:val="00F206B3"/>
    <w:rsid w:val="00F20A4A"/>
    <w:rsid w:val="00F20C87"/>
    <w:rsid w:val="00F213D0"/>
    <w:rsid w:val="00F214C1"/>
    <w:rsid w:val="00F21698"/>
    <w:rsid w:val="00F2184C"/>
    <w:rsid w:val="00F21CDE"/>
    <w:rsid w:val="00F2485F"/>
    <w:rsid w:val="00F264D0"/>
    <w:rsid w:val="00F3421B"/>
    <w:rsid w:val="00F34ABC"/>
    <w:rsid w:val="00F34BB9"/>
    <w:rsid w:val="00F370E5"/>
    <w:rsid w:val="00F37164"/>
    <w:rsid w:val="00F41570"/>
    <w:rsid w:val="00F42084"/>
    <w:rsid w:val="00F43BEC"/>
    <w:rsid w:val="00F45834"/>
    <w:rsid w:val="00F472CB"/>
    <w:rsid w:val="00F5018D"/>
    <w:rsid w:val="00F50DA0"/>
    <w:rsid w:val="00F51A2D"/>
    <w:rsid w:val="00F5270A"/>
    <w:rsid w:val="00F53661"/>
    <w:rsid w:val="00F53FA1"/>
    <w:rsid w:val="00F552C3"/>
    <w:rsid w:val="00F55466"/>
    <w:rsid w:val="00F561A3"/>
    <w:rsid w:val="00F571A9"/>
    <w:rsid w:val="00F5742D"/>
    <w:rsid w:val="00F60A00"/>
    <w:rsid w:val="00F60E0D"/>
    <w:rsid w:val="00F66E48"/>
    <w:rsid w:val="00F6707F"/>
    <w:rsid w:val="00F67E7B"/>
    <w:rsid w:val="00F70226"/>
    <w:rsid w:val="00F709E4"/>
    <w:rsid w:val="00F71764"/>
    <w:rsid w:val="00F71A10"/>
    <w:rsid w:val="00F71F92"/>
    <w:rsid w:val="00F73486"/>
    <w:rsid w:val="00F76064"/>
    <w:rsid w:val="00F8063D"/>
    <w:rsid w:val="00F80B3A"/>
    <w:rsid w:val="00F813CB"/>
    <w:rsid w:val="00F81828"/>
    <w:rsid w:val="00F81900"/>
    <w:rsid w:val="00F822F0"/>
    <w:rsid w:val="00F8278F"/>
    <w:rsid w:val="00F829C1"/>
    <w:rsid w:val="00F82D9D"/>
    <w:rsid w:val="00F834B1"/>
    <w:rsid w:val="00F85E0A"/>
    <w:rsid w:val="00F8721A"/>
    <w:rsid w:val="00F87D19"/>
    <w:rsid w:val="00F903C8"/>
    <w:rsid w:val="00F90E7F"/>
    <w:rsid w:val="00F973C0"/>
    <w:rsid w:val="00F97EEE"/>
    <w:rsid w:val="00FA1191"/>
    <w:rsid w:val="00FA2B98"/>
    <w:rsid w:val="00FA56D9"/>
    <w:rsid w:val="00FA59E7"/>
    <w:rsid w:val="00FA64FE"/>
    <w:rsid w:val="00FA7377"/>
    <w:rsid w:val="00FB0D0E"/>
    <w:rsid w:val="00FB0ED6"/>
    <w:rsid w:val="00FB2AC2"/>
    <w:rsid w:val="00FB447D"/>
    <w:rsid w:val="00FB47F6"/>
    <w:rsid w:val="00FB4C8F"/>
    <w:rsid w:val="00FB69B7"/>
    <w:rsid w:val="00FC00FD"/>
    <w:rsid w:val="00FC08AE"/>
    <w:rsid w:val="00FC0E8D"/>
    <w:rsid w:val="00FC17DF"/>
    <w:rsid w:val="00FC32CD"/>
    <w:rsid w:val="00FC523C"/>
    <w:rsid w:val="00FC79CC"/>
    <w:rsid w:val="00FD0B86"/>
    <w:rsid w:val="00FD1569"/>
    <w:rsid w:val="00FD1AF1"/>
    <w:rsid w:val="00FD1C5F"/>
    <w:rsid w:val="00FD1F64"/>
    <w:rsid w:val="00FD20B7"/>
    <w:rsid w:val="00FD6DD6"/>
    <w:rsid w:val="00FD72E2"/>
    <w:rsid w:val="00FE009E"/>
    <w:rsid w:val="00FE442B"/>
    <w:rsid w:val="00FE6396"/>
    <w:rsid w:val="00FE7BC9"/>
    <w:rsid w:val="00FF0D67"/>
    <w:rsid w:val="00FF0D69"/>
    <w:rsid w:val="00FF4178"/>
    <w:rsid w:val="00FF4262"/>
    <w:rsid w:val="00FF4B52"/>
    <w:rsid w:val="00FF521C"/>
    <w:rsid w:val="028C766B"/>
    <w:rsid w:val="063E03BA"/>
    <w:rsid w:val="06F4DDF9"/>
    <w:rsid w:val="0B4B0F53"/>
    <w:rsid w:val="0C21BABE"/>
    <w:rsid w:val="0C327D98"/>
    <w:rsid w:val="0D0767E6"/>
    <w:rsid w:val="0DE0EF55"/>
    <w:rsid w:val="0E047C79"/>
    <w:rsid w:val="0FC16FCB"/>
    <w:rsid w:val="0FC96131"/>
    <w:rsid w:val="0FD733DD"/>
    <w:rsid w:val="128ED056"/>
    <w:rsid w:val="13DC2867"/>
    <w:rsid w:val="15FA6710"/>
    <w:rsid w:val="1752BCDC"/>
    <w:rsid w:val="186FBD9F"/>
    <w:rsid w:val="191C23E1"/>
    <w:rsid w:val="1CFAD5AD"/>
    <w:rsid w:val="1D56E4ED"/>
    <w:rsid w:val="1D72102B"/>
    <w:rsid w:val="1E04647F"/>
    <w:rsid w:val="1E957EAE"/>
    <w:rsid w:val="1F9786DA"/>
    <w:rsid w:val="20FFF3DF"/>
    <w:rsid w:val="21AF6FBC"/>
    <w:rsid w:val="2206631F"/>
    <w:rsid w:val="236EDEE4"/>
    <w:rsid w:val="2399798E"/>
    <w:rsid w:val="24013D7C"/>
    <w:rsid w:val="24A9A26B"/>
    <w:rsid w:val="25E842B0"/>
    <w:rsid w:val="2640E081"/>
    <w:rsid w:val="294818EC"/>
    <w:rsid w:val="2AFD680D"/>
    <w:rsid w:val="2BFB8FE9"/>
    <w:rsid w:val="2C162FB2"/>
    <w:rsid w:val="2CC506AB"/>
    <w:rsid w:val="2D7164C8"/>
    <w:rsid w:val="2DB01994"/>
    <w:rsid w:val="2DD73988"/>
    <w:rsid w:val="2E2628EE"/>
    <w:rsid w:val="2E69A056"/>
    <w:rsid w:val="2F01948E"/>
    <w:rsid w:val="2F9CF2C9"/>
    <w:rsid w:val="2FCF7E09"/>
    <w:rsid w:val="30240502"/>
    <w:rsid w:val="30A3BED2"/>
    <w:rsid w:val="30A500B8"/>
    <w:rsid w:val="31069F19"/>
    <w:rsid w:val="32623213"/>
    <w:rsid w:val="36266288"/>
    <w:rsid w:val="38EABD74"/>
    <w:rsid w:val="3967EBBC"/>
    <w:rsid w:val="39C93CD8"/>
    <w:rsid w:val="3A64202C"/>
    <w:rsid w:val="3B8505E1"/>
    <w:rsid w:val="3E1EFBF7"/>
    <w:rsid w:val="3F0EE6C6"/>
    <w:rsid w:val="3F21228F"/>
    <w:rsid w:val="3F7337C6"/>
    <w:rsid w:val="3F861F2B"/>
    <w:rsid w:val="4041BD83"/>
    <w:rsid w:val="427AC68A"/>
    <w:rsid w:val="42EDE0C1"/>
    <w:rsid w:val="449DD526"/>
    <w:rsid w:val="44AF706D"/>
    <w:rsid w:val="458F566A"/>
    <w:rsid w:val="46A13547"/>
    <w:rsid w:val="46AED40C"/>
    <w:rsid w:val="46F0B565"/>
    <w:rsid w:val="49CC5B2F"/>
    <w:rsid w:val="4D26AF23"/>
    <w:rsid w:val="4D5588C6"/>
    <w:rsid w:val="4D5DC541"/>
    <w:rsid w:val="4E12AE3B"/>
    <w:rsid w:val="50D3FC1D"/>
    <w:rsid w:val="53CA3333"/>
    <w:rsid w:val="553EB2BC"/>
    <w:rsid w:val="56761571"/>
    <w:rsid w:val="56FBC039"/>
    <w:rsid w:val="5708A2D3"/>
    <w:rsid w:val="5856A2A3"/>
    <w:rsid w:val="5A7852C8"/>
    <w:rsid w:val="5BE1798B"/>
    <w:rsid w:val="5F2A1A3E"/>
    <w:rsid w:val="6009922B"/>
    <w:rsid w:val="6264F2D3"/>
    <w:rsid w:val="641A17EF"/>
    <w:rsid w:val="6569C287"/>
    <w:rsid w:val="6669B123"/>
    <w:rsid w:val="6715954B"/>
    <w:rsid w:val="676DD589"/>
    <w:rsid w:val="68B93FAB"/>
    <w:rsid w:val="69EEB521"/>
    <w:rsid w:val="6B60EAF1"/>
    <w:rsid w:val="6C33CBC6"/>
    <w:rsid w:val="7103D0CA"/>
    <w:rsid w:val="7110E231"/>
    <w:rsid w:val="71E92E2C"/>
    <w:rsid w:val="722EDDC6"/>
    <w:rsid w:val="7254F1BC"/>
    <w:rsid w:val="72815607"/>
    <w:rsid w:val="73913E31"/>
    <w:rsid w:val="73BCCA8A"/>
    <w:rsid w:val="741C7736"/>
    <w:rsid w:val="77C0594F"/>
    <w:rsid w:val="78417295"/>
    <w:rsid w:val="78699552"/>
    <w:rsid w:val="7A5F6395"/>
    <w:rsid w:val="7BAB36B1"/>
    <w:rsid w:val="7BE30EC8"/>
    <w:rsid w:val="7D9652ED"/>
    <w:rsid w:val="7E0DAEE0"/>
    <w:rsid w:val="7E5F9F07"/>
    <w:rsid w:val="7F6B1646"/>
    <w:rsid w:val="7F9B871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D6ED1"/>
  <w15:docId w15:val="{EA1DE0F5-F34C-4782-9A3E-2CB08D986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554"/>
  </w:style>
  <w:style w:type="paragraph" w:styleId="Heading2">
    <w:name w:val="heading 2"/>
    <w:basedOn w:val="Normal"/>
    <w:link w:val="Heading2Char"/>
    <w:uiPriority w:val="9"/>
    <w:qFormat/>
    <w:rsid w:val="00373B4E"/>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86E54"/>
    <w:rPr>
      <w:sz w:val="16"/>
      <w:szCs w:val="16"/>
    </w:rPr>
  </w:style>
  <w:style w:type="paragraph" w:styleId="CommentText">
    <w:name w:val="annotation text"/>
    <w:basedOn w:val="Normal"/>
    <w:link w:val="CommentTextChar"/>
    <w:uiPriority w:val="99"/>
    <w:unhideWhenUsed/>
    <w:rsid w:val="00D86E54"/>
    <w:pPr>
      <w:spacing w:line="240" w:lineRule="auto"/>
    </w:pPr>
    <w:rPr>
      <w:sz w:val="20"/>
      <w:szCs w:val="20"/>
    </w:rPr>
  </w:style>
  <w:style w:type="character" w:customStyle="1" w:styleId="CommentTextChar">
    <w:name w:val="Comment Text Char"/>
    <w:basedOn w:val="DefaultParagraphFont"/>
    <w:link w:val="CommentText"/>
    <w:uiPriority w:val="99"/>
    <w:rsid w:val="00D86E54"/>
    <w:rPr>
      <w:sz w:val="20"/>
      <w:szCs w:val="20"/>
    </w:rPr>
  </w:style>
  <w:style w:type="paragraph" w:styleId="CommentSubject">
    <w:name w:val="annotation subject"/>
    <w:basedOn w:val="CommentText"/>
    <w:next w:val="CommentText"/>
    <w:link w:val="CommentSubjectChar"/>
    <w:uiPriority w:val="99"/>
    <w:semiHidden/>
    <w:unhideWhenUsed/>
    <w:rsid w:val="00D86E54"/>
    <w:rPr>
      <w:b/>
      <w:bCs/>
    </w:rPr>
  </w:style>
  <w:style w:type="character" w:customStyle="1" w:styleId="CommentSubjectChar">
    <w:name w:val="Comment Subject Char"/>
    <w:basedOn w:val="CommentTextChar"/>
    <w:link w:val="CommentSubject"/>
    <w:uiPriority w:val="99"/>
    <w:semiHidden/>
    <w:rsid w:val="00D86E54"/>
    <w:rPr>
      <w:b/>
      <w:bCs/>
      <w:sz w:val="20"/>
      <w:szCs w:val="20"/>
    </w:rPr>
  </w:style>
  <w:style w:type="paragraph" w:styleId="BalloonText">
    <w:name w:val="Balloon Text"/>
    <w:basedOn w:val="Normal"/>
    <w:link w:val="BalloonTextChar"/>
    <w:uiPriority w:val="99"/>
    <w:semiHidden/>
    <w:unhideWhenUsed/>
    <w:rsid w:val="00D86E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6E54"/>
    <w:rPr>
      <w:rFonts w:ascii="Segoe UI" w:hAnsi="Segoe UI" w:cs="Segoe UI"/>
      <w:sz w:val="18"/>
      <w:szCs w:val="18"/>
    </w:rPr>
  </w:style>
  <w:style w:type="paragraph" w:styleId="ListParagraph">
    <w:name w:val="List Paragraph"/>
    <w:basedOn w:val="Normal"/>
    <w:uiPriority w:val="34"/>
    <w:qFormat/>
    <w:rsid w:val="00CB50D4"/>
    <w:pPr>
      <w:spacing w:line="256" w:lineRule="auto"/>
      <w:ind w:left="720"/>
      <w:contextualSpacing/>
    </w:pPr>
  </w:style>
  <w:style w:type="paragraph" w:styleId="Header">
    <w:name w:val="header"/>
    <w:basedOn w:val="Normal"/>
    <w:link w:val="HeaderChar"/>
    <w:uiPriority w:val="99"/>
    <w:unhideWhenUsed/>
    <w:rsid w:val="00EC1C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1C2C"/>
  </w:style>
  <w:style w:type="paragraph" w:styleId="Footer">
    <w:name w:val="footer"/>
    <w:basedOn w:val="Normal"/>
    <w:link w:val="FooterChar"/>
    <w:uiPriority w:val="99"/>
    <w:unhideWhenUsed/>
    <w:rsid w:val="00EC1C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1C2C"/>
  </w:style>
  <w:style w:type="table" w:styleId="TableGrid">
    <w:name w:val="Table Grid"/>
    <w:basedOn w:val="TableNormal"/>
    <w:uiPriority w:val="59"/>
    <w:rsid w:val="003905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06A56"/>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Heading2Char">
    <w:name w:val="Heading 2 Char"/>
    <w:basedOn w:val="DefaultParagraphFont"/>
    <w:link w:val="Heading2"/>
    <w:uiPriority w:val="9"/>
    <w:rsid w:val="00373B4E"/>
    <w:rPr>
      <w:rFonts w:ascii="Times New Roman" w:eastAsia="Times New Roman" w:hAnsi="Times New Roman" w:cs="Times New Roman"/>
      <w:b/>
      <w:bCs/>
      <w:sz w:val="36"/>
      <w:szCs w:val="36"/>
      <w:lang w:eastAsia="en-GB"/>
    </w:rPr>
  </w:style>
  <w:style w:type="paragraph" w:styleId="FootnoteText">
    <w:name w:val="footnote text"/>
    <w:basedOn w:val="Normal"/>
    <w:link w:val="FootnoteTextChar"/>
    <w:uiPriority w:val="99"/>
    <w:semiHidden/>
    <w:unhideWhenUsed/>
    <w:rsid w:val="00D834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345F"/>
    <w:rPr>
      <w:sz w:val="20"/>
      <w:szCs w:val="20"/>
    </w:rPr>
  </w:style>
  <w:style w:type="character" w:styleId="FootnoteReference">
    <w:name w:val="footnote reference"/>
    <w:basedOn w:val="DefaultParagraphFont"/>
    <w:uiPriority w:val="99"/>
    <w:semiHidden/>
    <w:unhideWhenUsed/>
    <w:rsid w:val="00D8345F"/>
    <w:rPr>
      <w:vertAlign w:val="superscript"/>
    </w:rPr>
  </w:style>
  <w:style w:type="paragraph" w:styleId="Revision">
    <w:name w:val="Revision"/>
    <w:hidden/>
    <w:uiPriority w:val="99"/>
    <w:semiHidden/>
    <w:rsid w:val="00B256D8"/>
    <w:pPr>
      <w:spacing w:after="0" w:line="240" w:lineRule="auto"/>
    </w:pPr>
  </w:style>
  <w:style w:type="character" w:customStyle="1" w:styleId="eop">
    <w:name w:val="eop"/>
    <w:basedOn w:val="DefaultParagraphFont"/>
    <w:rsid w:val="007119DA"/>
  </w:style>
  <w:style w:type="character" w:styleId="Mention">
    <w:name w:val="Mention"/>
    <w:basedOn w:val="DefaultParagraphFont"/>
    <w:uiPriority w:val="99"/>
    <w:unhideWhenUsed/>
    <w:rsid w:val="00DA677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0573">
      <w:bodyDiv w:val="1"/>
      <w:marLeft w:val="0"/>
      <w:marRight w:val="0"/>
      <w:marTop w:val="0"/>
      <w:marBottom w:val="0"/>
      <w:divBdr>
        <w:top w:val="none" w:sz="0" w:space="0" w:color="auto"/>
        <w:left w:val="none" w:sz="0" w:space="0" w:color="auto"/>
        <w:bottom w:val="none" w:sz="0" w:space="0" w:color="auto"/>
        <w:right w:val="none" w:sz="0" w:space="0" w:color="auto"/>
      </w:divBdr>
    </w:div>
    <w:div w:id="39793554">
      <w:bodyDiv w:val="1"/>
      <w:marLeft w:val="0"/>
      <w:marRight w:val="0"/>
      <w:marTop w:val="0"/>
      <w:marBottom w:val="0"/>
      <w:divBdr>
        <w:top w:val="none" w:sz="0" w:space="0" w:color="auto"/>
        <w:left w:val="none" w:sz="0" w:space="0" w:color="auto"/>
        <w:bottom w:val="none" w:sz="0" w:space="0" w:color="auto"/>
        <w:right w:val="none" w:sz="0" w:space="0" w:color="auto"/>
      </w:divBdr>
    </w:div>
    <w:div w:id="144444356">
      <w:bodyDiv w:val="1"/>
      <w:marLeft w:val="0"/>
      <w:marRight w:val="0"/>
      <w:marTop w:val="0"/>
      <w:marBottom w:val="0"/>
      <w:divBdr>
        <w:top w:val="none" w:sz="0" w:space="0" w:color="auto"/>
        <w:left w:val="none" w:sz="0" w:space="0" w:color="auto"/>
        <w:bottom w:val="none" w:sz="0" w:space="0" w:color="auto"/>
        <w:right w:val="none" w:sz="0" w:space="0" w:color="auto"/>
      </w:divBdr>
    </w:div>
    <w:div w:id="174810460">
      <w:bodyDiv w:val="1"/>
      <w:marLeft w:val="0"/>
      <w:marRight w:val="0"/>
      <w:marTop w:val="0"/>
      <w:marBottom w:val="0"/>
      <w:divBdr>
        <w:top w:val="none" w:sz="0" w:space="0" w:color="auto"/>
        <w:left w:val="none" w:sz="0" w:space="0" w:color="auto"/>
        <w:bottom w:val="none" w:sz="0" w:space="0" w:color="auto"/>
        <w:right w:val="none" w:sz="0" w:space="0" w:color="auto"/>
      </w:divBdr>
    </w:div>
    <w:div w:id="183638393">
      <w:bodyDiv w:val="1"/>
      <w:marLeft w:val="0"/>
      <w:marRight w:val="0"/>
      <w:marTop w:val="0"/>
      <w:marBottom w:val="0"/>
      <w:divBdr>
        <w:top w:val="none" w:sz="0" w:space="0" w:color="auto"/>
        <w:left w:val="none" w:sz="0" w:space="0" w:color="auto"/>
        <w:bottom w:val="none" w:sz="0" w:space="0" w:color="auto"/>
        <w:right w:val="none" w:sz="0" w:space="0" w:color="auto"/>
      </w:divBdr>
    </w:div>
    <w:div w:id="229537727">
      <w:bodyDiv w:val="1"/>
      <w:marLeft w:val="0"/>
      <w:marRight w:val="0"/>
      <w:marTop w:val="0"/>
      <w:marBottom w:val="0"/>
      <w:divBdr>
        <w:top w:val="none" w:sz="0" w:space="0" w:color="auto"/>
        <w:left w:val="none" w:sz="0" w:space="0" w:color="auto"/>
        <w:bottom w:val="none" w:sz="0" w:space="0" w:color="auto"/>
        <w:right w:val="none" w:sz="0" w:space="0" w:color="auto"/>
      </w:divBdr>
    </w:div>
    <w:div w:id="322661072">
      <w:bodyDiv w:val="1"/>
      <w:marLeft w:val="0"/>
      <w:marRight w:val="0"/>
      <w:marTop w:val="0"/>
      <w:marBottom w:val="0"/>
      <w:divBdr>
        <w:top w:val="none" w:sz="0" w:space="0" w:color="auto"/>
        <w:left w:val="none" w:sz="0" w:space="0" w:color="auto"/>
        <w:bottom w:val="none" w:sz="0" w:space="0" w:color="auto"/>
        <w:right w:val="none" w:sz="0" w:space="0" w:color="auto"/>
      </w:divBdr>
    </w:div>
    <w:div w:id="388849802">
      <w:bodyDiv w:val="1"/>
      <w:marLeft w:val="0"/>
      <w:marRight w:val="0"/>
      <w:marTop w:val="0"/>
      <w:marBottom w:val="0"/>
      <w:divBdr>
        <w:top w:val="none" w:sz="0" w:space="0" w:color="auto"/>
        <w:left w:val="none" w:sz="0" w:space="0" w:color="auto"/>
        <w:bottom w:val="none" w:sz="0" w:space="0" w:color="auto"/>
        <w:right w:val="none" w:sz="0" w:space="0" w:color="auto"/>
      </w:divBdr>
    </w:div>
    <w:div w:id="451049278">
      <w:bodyDiv w:val="1"/>
      <w:marLeft w:val="0"/>
      <w:marRight w:val="0"/>
      <w:marTop w:val="0"/>
      <w:marBottom w:val="0"/>
      <w:divBdr>
        <w:top w:val="none" w:sz="0" w:space="0" w:color="auto"/>
        <w:left w:val="none" w:sz="0" w:space="0" w:color="auto"/>
        <w:bottom w:val="none" w:sz="0" w:space="0" w:color="auto"/>
        <w:right w:val="none" w:sz="0" w:space="0" w:color="auto"/>
      </w:divBdr>
    </w:div>
    <w:div w:id="477191038">
      <w:bodyDiv w:val="1"/>
      <w:marLeft w:val="0"/>
      <w:marRight w:val="0"/>
      <w:marTop w:val="0"/>
      <w:marBottom w:val="0"/>
      <w:divBdr>
        <w:top w:val="none" w:sz="0" w:space="0" w:color="auto"/>
        <w:left w:val="none" w:sz="0" w:space="0" w:color="auto"/>
        <w:bottom w:val="none" w:sz="0" w:space="0" w:color="auto"/>
        <w:right w:val="none" w:sz="0" w:space="0" w:color="auto"/>
      </w:divBdr>
    </w:div>
    <w:div w:id="486626161">
      <w:bodyDiv w:val="1"/>
      <w:marLeft w:val="0"/>
      <w:marRight w:val="0"/>
      <w:marTop w:val="0"/>
      <w:marBottom w:val="0"/>
      <w:divBdr>
        <w:top w:val="none" w:sz="0" w:space="0" w:color="auto"/>
        <w:left w:val="none" w:sz="0" w:space="0" w:color="auto"/>
        <w:bottom w:val="none" w:sz="0" w:space="0" w:color="auto"/>
        <w:right w:val="none" w:sz="0" w:space="0" w:color="auto"/>
      </w:divBdr>
    </w:div>
    <w:div w:id="511378250">
      <w:bodyDiv w:val="1"/>
      <w:marLeft w:val="0"/>
      <w:marRight w:val="0"/>
      <w:marTop w:val="0"/>
      <w:marBottom w:val="0"/>
      <w:divBdr>
        <w:top w:val="none" w:sz="0" w:space="0" w:color="auto"/>
        <w:left w:val="none" w:sz="0" w:space="0" w:color="auto"/>
        <w:bottom w:val="none" w:sz="0" w:space="0" w:color="auto"/>
        <w:right w:val="none" w:sz="0" w:space="0" w:color="auto"/>
      </w:divBdr>
    </w:div>
    <w:div w:id="528494600">
      <w:bodyDiv w:val="1"/>
      <w:marLeft w:val="0"/>
      <w:marRight w:val="0"/>
      <w:marTop w:val="0"/>
      <w:marBottom w:val="0"/>
      <w:divBdr>
        <w:top w:val="none" w:sz="0" w:space="0" w:color="auto"/>
        <w:left w:val="none" w:sz="0" w:space="0" w:color="auto"/>
        <w:bottom w:val="none" w:sz="0" w:space="0" w:color="auto"/>
        <w:right w:val="none" w:sz="0" w:space="0" w:color="auto"/>
      </w:divBdr>
    </w:div>
    <w:div w:id="584387627">
      <w:bodyDiv w:val="1"/>
      <w:marLeft w:val="0"/>
      <w:marRight w:val="0"/>
      <w:marTop w:val="0"/>
      <w:marBottom w:val="0"/>
      <w:divBdr>
        <w:top w:val="none" w:sz="0" w:space="0" w:color="auto"/>
        <w:left w:val="none" w:sz="0" w:space="0" w:color="auto"/>
        <w:bottom w:val="none" w:sz="0" w:space="0" w:color="auto"/>
        <w:right w:val="none" w:sz="0" w:space="0" w:color="auto"/>
      </w:divBdr>
    </w:div>
    <w:div w:id="666983284">
      <w:bodyDiv w:val="1"/>
      <w:marLeft w:val="0"/>
      <w:marRight w:val="0"/>
      <w:marTop w:val="0"/>
      <w:marBottom w:val="0"/>
      <w:divBdr>
        <w:top w:val="none" w:sz="0" w:space="0" w:color="auto"/>
        <w:left w:val="none" w:sz="0" w:space="0" w:color="auto"/>
        <w:bottom w:val="none" w:sz="0" w:space="0" w:color="auto"/>
        <w:right w:val="none" w:sz="0" w:space="0" w:color="auto"/>
      </w:divBdr>
    </w:div>
    <w:div w:id="674647614">
      <w:bodyDiv w:val="1"/>
      <w:marLeft w:val="0"/>
      <w:marRight w:val="0"/>
      <w:marTop w:val="0"/>
      <w:marBottom w:val="0"/>
      <w:divBdr>
        <w:top w:val="none" w:sz="0" w:space="0" w:color="auto"/>
        <w:left w:val="none" w:sz="0" w:space="0" w:color="auto"/>
        <w:bottom w:val="none" w:sz="0" w:space="0" w:color="auto"/>
        <w:right w:val="none" w:sz="0" w:space="0" w:color="auto"/>
      </w:divBdr>
    </w:div>
    <w:div w:id="675108178">
      <w:bodyDiv w:val="1"/>
      <w:marLeft w:val="0"/>
      <w:marRight w:val="0"/>
      <w:marTop w:val="0"/>
      <w:marBottom w:val="0"/>
      <w:divBdr>
        <w:top w:val="none" w:sz="0" w:space="0" w:color="auto"/>
        <w:left w:val="none" w:sz="0" w:space="0" w:color="auto"/>
        <w:bottom w:val="none" w:sz="0" w:space="0" w:color="auto"/>
        <w:right w:val="none" w:sz="0" w:space="0" w:color="auto"/>
      </w:divBdr>
    </w:div>
    <w:div w:id="682366610">
      <w:bodyDiv w:val="1"/>
      <w:marLeft w:val="0"/>
      <w:marRight w:val="0"/>
      <w:marTop w:val="0"/>
      <w:marBottom w:val="0"/>
      <w:divBdr>
        <w:top w:val="none" w:sz="0" w:space="0" w:color="auto"/>
        <w:left w:val="none" w:sz="0" w:space="0" w:color="auto"/>
        <w:bottom w:val="none" w:sz="0" w:space="0" w:color="auto"/>
        <w:right w:val="none" w:sz="0" w:space="0" w:color="auto"/>
      </w:divBdr>
    </w:div>
    <w:div w:id="690035213">
      <w:bodyDiv w:val="1"/>
      <w:marLeft w:val="0"/>
      <w:marRight w:val="0"/>
      <w:marTop w:val="0"/>
      <w:marBottom w:val="0"/>
      <w:divBdr>
        <w:top w:val="none" w:sz="0" w:space="0" w:color="auto"/>
        <w:left w:val="none" w:sz="0" w:space="0" w:color="auto"/>
        <w:bottom w:val="none" w:sz="0" w:space="0" w:color="auto"/>
        <w:right w:val="none" w:sz="0" w:space="0" w:color="auto"/>
      </w:divBdr>
    </w:div>
    <w:div w:id="703947347">
      <w:bodyDiv w:val="1"/>
      <w:marLeft w:val="0"/>
      <w:marRight w:val="0"/>
      <w:marTop w:val="0"/>
      <w:marBottom w:val="0"/>
      <w:divBdr>
        <w:top w:val="none" w:sz="0" w:space="0" w:color="auto"/>
        <w:left w:val="none" w:sz="0" w:space="0" w:color="auto"/>
        <w:bottom w:val="none" w:sz="0" w:space="0" w:color="auto"/>
        <w:right w:val="none" w:sz="0" w:space="0" w:color="auto"/>
      </w:divBdr>
    </w:div>
    <w:div w:id="718432250">
      <w:bodyDiv w:val="1"/>
      <w:marLeft w:val="0"/>
      <w:marRight w:val="0"/>
      <w:marTop w:val="0"/>
      <w:marBottom w:val="0"/>
      <w:divBdr>
        <w:top w:val="none" w:sz="0" w:space="0" w:color="auto"/>
        <w:left w:val="none" w:sz="0" w:space="0" w:color="auto"/>
        <w:bottom w:val="none" w:sz="0" w:space="0" w:color="auto"/>
        <w:right w:val="none" w:sz="0" w:space="0" w:color="auto"/>
      </w:divBdr>
    </w:div>
    <w:div w:id="768043093">
      <w:bodyDiv w:val="1"/>
      <w:marLeft w:val="0"/>
      <w:marRight w:val="0"/>
      <w:marTop w:val="0"/>
      <w:marBottom w:val="0"/>
      <w:divBdr>
        <w:top w:val="none" w:sz="0" w:space="0" w:color="auto"/>
        <w:left w:val="none" w:sz="0" w:space="0" w:color="auto"/>
        <w:bottom w:val="none" w:sz="0" w:space="0" w:color="auto"/>
        <w:right w:val="none" w:sz="0" w:space="0" w:color="auto"/>
      </w:divBdr>
    </w:div>
    <w:div w:id="792214891">
      <w:bodyDiv w:val="1"/>
      <w:marLeft w:val="0"/>
      <w:marRight w:val="0"/>
      <w:marTop w:val="0"/>
      <w:marBottom w:val="0"/>
      <w:divBdr>
        <w:top w:val="none" w:sz="0" w:space="0" w:color="auto"/>
        <w:left w:val="none" w:sz="0" w:space="0" w:color="auto"/>
        <w:bottom w:val="none" w:sz="0" w:space="0" w:color="auto"/>
        <w:right w:val="none" w:sz="0" w:space="0" w:color="auto"/>
      </w:divBdr>
    </w:div>
    <w:div w:id="809982340">
      <w:bodyDiv w:val="1"/>
      <w:marLeft w:val="0"/>
      <w:marRight w:val="0"/>
      <w:marTop w:val="0"/>
      <w:marBottom w:val="0"/>
      <w:divBdr>
        <w:top w:val="none" w:sz="0" w:space="0" w:color="auto"/>
        <w:left w:val="none" w:sz="0" w:space="0" w:color="auto"/>
        <w:bottom w:val="none" w:sz="0" w:space="0" w:color="auto"/>
        <w:right w:val="none" w:sz="0" w:space="0" w:color="auto"/>
      </w:divBdr>
    </w:div>
    <w:div w:id="922300163">
      <w:bodyDiv w:val="1"/>
      <w:marLeft w:val="0"/>
      <w:marRight w:val="0"/>
      <w:marTop w:val="0"/>
      <w:marBottom w:val="0"/>
      <w:divBdr>
        <w:top w:val="none" w:sz="0" w:space="0" w:color="auto"/>
        <w:left w:val="none" w:sz="0" w:space="0" w:color="auto"/>
        <w:bottom w:val="none" w:sz="0" w:space="0" w:color="auto"/>
        <w:right w:val="none" w:sz="0" w:space="0" w:color="auto"/>
      </w:divBdr>
    </w:div>
    <w:div w:id="945383954">
      <w:bodyDiv w:val="1"/>
      <w:marLeft w:val="0"/>
      <w:marRight w:val="0"/>
      <w:marTop w:val="0"/>
      <w:marBottom w:val="0"/>
      <w:divBdr>
        <w:top w:val="none" w:sz="0" w:space="0" w:color="auto"/>
        <w:left w:val="none" w:sz="0" w:space="0" w:color="auto"/>
        <w:bottom w:val="none" w:sz="0" w:space="0" w:color="auto"/>
        <w:right w:val="none" w:sz="0" w:space="0" w:color="auto"/>
      </w:divBdr>
    </w:div>
    <w:div w:id="979111690">
      <w:bodyDiv w:val="1"/>
      <w:marLeft w:val="0"/>
      <w:marRight w:val="0"/>
      <w:marTop w:val="0"/>
      <w:marBottom w:val="0"/>
      <w:divBdr>
        <w:top w:val="none" w:sz="0" w:space="0" w:color="auto"/>
        <w:left w:val="none" w:sz="0" w:space="0" w:color="auto"/>
        <w:bottom w:val="none" w:sz="0" w:space="0" w:color="auto"/>
        <w:right w:val="none" w:sz="0" w:space="0" w:color="auto"/>
      </w:divBdr>
    </w:div>
    <w:div w:id="1021013247">
      <w:bodyDiv w:val="1"/>
      <w:marLeft w:val="0"/>
      <w:marRight w:val="0"/>
      <w:marTop w:val="0"/>
      <w:marBottom w:val="0"/>
      <w:divBdr>
        <w:top w:val="none" w:sz="0" w:space="0" w:color="auto"/>
        <w:left w:val="none" w:sz="0" w:space="0" w:color="auto"/>
        <w:bottom w:val="none" w:sz="0" w:space="0" w:color="auto"/>
        <w:right w:val="none" w:sz="0" w:space="0" w:color="auto"/>
      </w:divBdr>
    </w:div>
    <w:div w:id="1024017041">
      <w:bodyDiv w:val="1"/>
      <w:marLeft w:val="0"/>
      <w:marRight w:val="0"/>
      <w:marTop w:val="0"/>
      <w:marBottom w:val="0"/>
      <w:divBdr>
        <w:top w:val="none" w:sz="0" w:space="0" w:color="auto"/>
        <w:left w:val="none" w:sz="0" w:space="0" w:color="auto"/>
        <w:bottom w:val="none" w:sz="0" w:space="0" w:color="auto"/>
        <w:right w:val="none" w:sz="0" w:space="0" w:color="auto"/>
      </w:divBdr>
    </w:div>
    <w:div w:id="1068499027">
      <w:bodyDiv w:val="1"/>
      <w:marLeft w:val="0"/>
      <w:marRight w:val="0"/>
      <w:marTop w:val="0"/>
      <w:marBottom w:val="0"/>
      <w:divBdr>
        <w:top w:val="none" w:sz="0" w:space="0" w:color="auto"/>
        <w:left w:val="none" w:sz="0" w:space="0" w:color="auto"/>
        <w:bottom w:val="none" w:sz="0" w:space="0" w:color="auto"/>
        <w:right w:val="none" w:sz="0" w:space="0" w:color="auto"/>
      </w:divBdr>
    </w:div>
    <w:div w:id="1086995643">
      <w:bodyDiv w:val="1"/>
      <w:marLeft w:val="0"/>
      <w:marRight w:val="0"/>
      <w:marTop w:val="0"/>
      <w:marBottom w:val="0"/>
      <w:divBdr>
        <w:top w:val="none" w:sz="0" w:space="0" w:color="auto"/>
        <w:left w:val="none" w:sz="0" w:space="0" w:color="auto"/>
        <w:bottom w:val="none" w:sz="0" w:space="0" w:color="auto"/>
        <w:right w:val="none" w:sz="0" w:space="0" w:color="auto"/>
      </w:divBdr>
    </w:div>
    <w:div w:id="1130829612">
      <w:bodyDiv w:val="1"/>
      <w:marLeft w:val="0"/>
      <w:marRight w:val="0"/>
      <w:marTop w:val="0"/>
      <w:marBottom w:val="0"/>
      <w:divBdr>
        <w:top w:val="none" w:sz="0" w:space="0" w:color="auto"/>
        <w:left w:val="none" w:sz="0" w:space="0" w:color="auto"/>
        <w:bottom w:val="none" w:sz="0" w:space="0" w:color="auto"/>
        <w:right w:val="none" w:sz="0" w:space="0" w:color="auto"/>
      </w:divBdr>
    </w:div>
    <w:div w:id="1202783204">
      <w:bodyDiv w:val="1"/>
      <w:marLeft w:val="0"/>
      <w:marRight w:val="0"/>
      <w:marTop w:val="0"/>
      <w:marBottom w:val="0"/>
      <w:divBdr>
        <w:top w:val="none" w:sz="0" w:space="0" w:color="auto"/>
        <w:left w:val="none" w:sz="0" w:space="0" w:color="auto"/>
        <w:bottom w:val="none" w:sz="0" w:space="0" w:color="auto"/>
        <w:right w:val="none" w:sz="0" w:space="0" w:color="auto"/>
      </w:divBdr>
    </w:div>
    <w:div w:id="1251623954">
      <w:bodyDiv w:val="1"/>
      <w:marLeft w:val="0"/>
      <w:marRight w:val="0"/>
      <w:marTop w:val="0"/>
      <w:marBottom w:val="0"/>
      <w:divBdr>
        <w:top w:val="none" w:sz="0" w:space="0" w:color="auto"/>
        <w:left w:val="none" w:sz="0" w:space="0" w:color="auto"/>
        <w:bottom w:val="none" w:sz="0" w:space="0" w:color="auto"/>
        <w:right w:val="none" w:sz="0" w:space="0" w:color="auto"/>
      </w:divBdr>
    </w:div>
    <w:div w:id="1257208517">
      <w:bodyDiv w:val="1"/>
      <w:marLeft w:val="0"/>
      <w:marRight w:val="0"/>
      <w:marTop w:val="0"/>
      <w:marBottom w:val="0"/>
      <w:divBdr>
        <w:top w:val="none" w:sz="0" w:space="0" w:color="auto"/>
        <w:left w:val="none" w:sz="0" w:space="0" w:color="auto"/>
        <w:bottom w:val="none" w:sz="0" w:space="0" w:color="auto"/>
        <w:right w:val="none" w:sz="0" w:space="0" w:color="auto"/>
      </w:divBdr>
    </w:div>
    <w:div w:id="1378700384">
      <w:bodyDiv w:val="1"/>
      <w:marLeft w:val="0"/>
      <w:marRight w:val="0"/>
      <w:marTop w:val="0"/>
      <w:marBottom w:val="0"/>
      <w:divBdr>
        <w:top w:val="none" w:sz="0" w:space="0" w:color="auto"/>
        <w:left w:val="none" w:sz="0" w:space="0" w:color="auto"/>
        <w:bottom w:val="none" w:sz="0" w:space="0" w:color="auto"/>
        <w:right w:val="none" w:sz="0" w:space="0" w:color="auto"/>
      </w:divBdr>
    </w:div>
    <w:div w:id="1398282803">
      <w:bodyDiv w:val="1"/>
      <w:marLeft w:val="0"/>
      <w:marRight w:val="0"/>
      <w:marTop w:val="0"/>
      <w:marBottom w:val="0"/>
      <w:divBdr>
        <w:top w:val="none" w:sz="0" w:space="0" w:color="auto"/>
        <w:left w:val="none" w:sz="0" w:space="0" w:color="auto"/>
        <w:bottom w:val="none" w:sz="0" w:space="0" w:color="auto"/>
        <w:right w:val="none" w:sz="0" w:space="0" w:color="auto"/>
      </w:divBdr>
    </w:div>
    <w:div w:id="1455556888">
      <w:bodyDiv w:val="1"/>
      <w:marLeft w:val="0"/>
      <w:marRight w:val="0"/>
      <w:marTop w:val="0"/>
      <w:marBottom w:val="0"/>
      <w:divBdr>
        <w:top w:val="none" w:sz="0" w:space="0" w:color="auto"/>
        <w:left w:val="none" w:sz="0" w:space="0" w:color="auto"/>
        <w:bottom w:val="none" w:sz="0" w:space="0" w:color="auto"/>
        <w:right w:val="none" w:sz="0" w:space="0" w:color="auto"/>
      </w:divBdr>
    </w:div>
    <w:div w:id="1495411686">
      <w:bodyDiv w:val="1"/>
      <w:marLeft w:val="0"/>
      <w:marRight w:val="0"/>
      <w:marTop w:val="0"/>
      <w:marBottom w:val="0"/>
      <w:divBdr>
        <w:top w:val="none" w:sz="0" w:space="0" w:color="auto"/>
        <w:left w:val="none" w:sz="0" w:space="0" w:color="auto"/>
        <w:bottom w:val="none" w:sz="0" w:space="0" w:color="auto"/>
        <w:right w:val="none" w:sz="0" w:space="0" w:color="auto"/>
      </w:divBdr>
    </w:div>
    <w:div w:id="1538082851">
      <w:bodyDiv w:val="1"/>
      <w:marLeft w:val="0"/>
      <w:marRight w:val="0"/>
      <w:marTop w:val="0"/>
      <w:marBottom w:val="0"/>
      <w:divBdr>
        <w:top w:val="none" w:sz="0" w:space="0" w:color="auto"/>
        <w:left w:val="none" w:sz="0" w:space="0" w:color="auto"/>
        <w:bottom w:val="none" w:sz="0" w:space="0" w:color="auto"/>
        <w:right w:val="none" w:sz="0" w:space="0" w:color="auto"/>
      </w:divBdr>
    </w:div>
    <w:div w:id="1542980613">
      <w:bodyDiv w:val="1"/>
      <w:marLeft w:val="0"/>
      <w:marRight w:val="0"/>
      <w:marTop w:val="0"/>
      <w:marBottom w:val="0"/>
      <w:divBdr>
        <w:top w:val="none" w:sz="0" w:space="0" w:color="auto"/>
        <w:left w:val="none" w:sz="0" w:space="0" w:color="auto"/>
        <w:bottom w:val="none" w:sz="0" w:space="0" w:color="auto"/>
        <w:right w:val="none" w:sz="0" w:space="0" w:color="auto"/>
      </w:divBdr>
    </w:div>
    <w:div w:id="1582520075">
      <w:bodyDiv w:val="1"/>
      <w:marLeft w:val="0"/>
      <w:marRight w:val="0"/>
      <w:marTop w:val="0"/>
      <w:marBottom w:val="0"/>
      <w:divBdr>
        <w:top w:val="none" w:sz="0" w:space="0" w:color="auto"/>
        <w:left w:val="none" w:sz="0" w:space="0" w:color="auto"/>
        <w:bottom w:val="none" w:sz="0" w:space="0" w:color="auto"/>
        <w:right w:val="none" w:sz="0" w:space="0" w:color="auto"/>
      </w:divBdr>
    </w:div>
    <w:div w:id="1606769460">
      <w:bodyDiv w:val="1"/>
      <w:marLeft w:val="0"/>
      <w:marRight w:val="0"/>
      <w:marTop w:val="0"/>
      <w:marBottom w:val="0"/>
      <w:divBdr>
        <w:top w:val="none" w:sz="0" w:space="0" w:color="auto"/>
        <w:left w:val="none" w:sz="0" w:space="0" w:color="auto"/>
        <w:bottom w:val="none" w:sz="0" w:space="0" w:color="auto"/>
        <w:right w:val="none" w:sz="0" w:space="0" w:color="auto"/>
      </w:divBdr>
    </w:div>
    <w:div w:id="1681620153">
      <w:bodyDiv w:val="1"/>
      <w:marLeft w:val="0"/>
      <w:marRight w:val="0"/>
      <w:marTop w:val="0"/>
      <w:marBottom w:val="0"/>
      <w:divBdr>
        <w:top w:val="none" w:sz="0" w:space="0" w:color="auto"/>
        <w:left w:val="none" w:sz="0" w:space="0" w:color="auto"/>
        <w:bottom w:val="none" w:sz="0" w:space="0" w:color="auto"/>
        <w:right w:val="none" w:sz="0" w:space="0" w:color="auto"/>
      </w:divBdr>
    </w:div>
    <w:div w:id="1691490630">
      <w:bodyDiv w:val="1"/>
      <w:marLeft w:val="0"/>
      <w:marRight w:val="0"/>
      <w:marTop w:val="0"/>
      <w:marBottom w:val="0"/>
      <w:divBdr>
        <w:top w:val="none" w:sz="0" w:space="0" w:color="auto"/>
        <w:left w:val="none" w:sz="0" w:space="0" w:color="auto"/>
        <w:bottom w:val="none" w:sz="0" w:space="0" w:color="auto"/>
        <w:right w:val="none" w:sz="0" w:space="0" w:color="auto"/>
      </w:divBdr>
    </w:div>
    <w:div w:id="1717653976">
      <w:bodyDiv w:val="1"/>
      <w:marLeft w:val="0"/>
      <w:marRight w:val="0"/>
      <w:marTop w:val="0"/>
      <w:marBottom w:val="0"/>
      <w:divBdr>
        <w:top w:val="none" w:sz="0" w:space="0" w:color="auto"/>
        <w:left w:val="none" w:sz="0" w:space="0" w:color="auto"/>
        <w:bottom w:val="none" w:sz="0" w:space="0" w:color="auto"/>
        <w:right w:val="none" w:sz="0" w:space="0" w:color="auto"/>
      </w:divBdr>
    </w:div>
    <w:div w:id="1727024421">
      <w:bodyDiv w:val="1"/>
      <w:marLeft w:val="0"/>
      <w:marRight w:val="0"/>
      <w:marTop w:val="0"/>
      <w:marBottom w:val="0"/>
      <w:divBdr>
        <w:top w:val="none" w:sz="0" w:space="0" w:color="auto"/>
        <w:left w:val="none" w:sz="0" w:space="0" w:color="auto"/>
        <w:bottom w:val="none" w:sz="0" w:space="0" w:color="auto"/>
        <w:right w:val="none" w:sz="0" w:space="0" w:color="auto"/>
      </w:divBdr>
    </w:div>
    <w:div w:id="1736970288">
      <w:bodyDiv w:val="1"/>
      <w:marLeft w:val="0"/>
      <w:marRight w:val="0"/>
      <w:marTop w:val="0"/>
      <w:marBottom w:val="0"/>
      <w:divBdr>
        <w:top w:val="none" w:sz="0" w:space="0" w:color="auto"/>
        <w:left w:val="none" w:sz="0" w:space="0" w:color="auto"/>
        <w:bottom w:val="none" w:sz="0" w:space="0" w:color="auto"/>
        <w:right w:val="none" w:sz="0" w:space="0" w:color="auto"/>
      </w:divBdr>
    </w:div>
    <w:div w:id="1754011988">
      <w:bodyDiv w:val="1"/>
      <w:marLeft w:val="0"/>
      <w:marRight w:val="0"/>
      <w:marTop w:val="0"/>
      <w:marBottom w:val="0"/>
      <w:divBdr>
        <w:top w:val="none" w:sz="0" w:space="0" w:color="auto"/>
        <w:left w:val="none" w:sz="0" w:space="0" w:color="auto"/>
        <w:bottom w:val="none" w:sz="0" w:space="0" w:color="auto"/>
        <w:right w:val="none" w:sz="0" w:space="0" w:color="auto"/>
      </w:divBdr>
    </w:div>
    <w:div w:id="1802919680">
      <w:bodyDiv w:val="1"/>
      <w:marLeft w:val="0"/>
      <w:marRight w:val="0"/>
      <w:marTop w:val="0"/>
      <w:marBottom w:val="0"/>
      <w:divBdr>
        <w:top w:val="none" w:sz="0" w:space="0" w:color="auto"/>
        <w:left w:val="none" w:sz="0" w:space="0" w:color="auto"/>
        <w:bottom w:val="none" w:sz="0" w:space="0" w:color="auto"/>
        <w:right w:val="none" w:sz="0" w:space="0" w:color="auto"/>
      </w:divBdr>
    </w:div>
    <w:div w:id="1833253335">
      <w:bodyDiv w:val="1"/>
      <w:marLeft w:val="0"/>
      <w:marRight w:val="0"/>
      <w:marTop w:val="0"/>
      <w:marBottom w:val="0"/>
      <w:divBdr>
        <w:top w:val="none" w:sz="0" w:space="0" w:color="auto"/>
        <w:left w:val="none" w:sz="0" w:space="0" w:color="auto"/>
        <w:bottom w:val="none" w:sz="0" w:space="0" w:color="auto"/>
        <w:right w:val="none" w:sz="0" w:space="0" w:color="auto"/>
      </w:divBdr>
    </w:div>
    <w:div w:id="1839350164">
      <w:bodyDiv w:val="1"/>
      <w:marLeft w:val="0"/>
      <w:marRight w:val="0"/>
      <w:marTop w:val="0"/>
      <w:marBottom w:val="0"/>
      <w:divBdr>
        <w:top w:val="none" w:sz="0" w:space="0" w:color="auto"/>
        <w:left w:val="none" w:sz="0" w:space="0" w:color="auto"/>
        <w:bottom w:val="none" w:sz="0" w:space="0" w:color="auto"/>
        <w:right w:val="none" w:sz="0" w:space="0" w:color="auto"/>
      </w:divBdr>
    </w:div>
    <w:div w:id="1860895126">
      <w:bodyDiv w:val="1"/>
      <w:marLeft w:val="0"/>
      <w:marRight w:val="0"/>
      <w:marTop w:val="0"/>
      <w:marBottom w:val="0"/>
      <w:divBdr>
        <w:top w:val="none" w:sz="0" w:space="0" w:color="auto"/>
        <w:left w:val="none" w:sz="0" w:space="0" w:color="auto"/>
        <w:bottom w:val="none" w:sz="0" w:space="0" w:color="auto"/>
        <w:right w:val="none" w:sz="0" w:space="0" w:color="auto"/>
      </w:divBdr>
    </w:div>
    <w:div w:id="2009021930">
      <w:bodyDiv w:val="1"/>
      <w:marLeft w:val="0"/>
      <w:marRight w:val="0"/>
      <w:marTop w:val="0"/>
      <w:marBottom w:val="0"/>
      <w:divBdr>
        <w:top w:val="none" w:sz="0" w:space="0" w:color="auto"/>
        <w:left w:val="none" w:sz="0" w:space="0" w:color="auto"/>
        <w:bottom w:val="none" w:sz="0" w:space="0" w:color="auto"/>
        <w:right w:val="none" w:sz="0" w:space="0" w:color="auto"/>
      </w:divBdr>
    </w:div>
    <w:div w:id="2061512194">
      <w:bodyDiv w:val="1"/>
      <w:marLeft w:val="0"/>
      <w:marRight w:val="0"/>
      <w:marTop w:val="0"/>
      <w:marBottom w:val="0"/>
      <w:divBdr>
        <w:top w:val="none" w:sz="0" w:space="0" w:color="auto"/>
        <w:left w:val="none" w:sz="0" w:space="0" w:color="auto"/>
        <w:bottom w:val="none" w:sz="0" w:space="0" w:color="auto"/>
        <w:right w:val="none" w:sz="0" w:space="0" w:color="auto"/>
      </w:divBdr>
    </w:div>
    <w:div w:id="2112356817">
      <w:bodyDiv w:val="1"/>
      <w:marLeft w:val="0"/>
      <w:marRight w:val="0"/>
      <w:marTop w:val="0"/>
      <w:marBottom w:val="0"/>
      <w:divBdr>
        <w:top w:val="none" w:sz="0" w:space="0" w:color="auto"/>
        <w:left w:val="none" w:sz="0" w:space="0" w:color="auto"/>
        <w:bottom w:val="none" w:sz="0" w:space="0" w:color="auto"/>
        <w:right w:val="none" w:sz="0" w:space="0" w:color="auto"/>
      </w:divBdr>
    </w:div>
    <w:div w:id="21333548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0841F7A326EF4BA8107F4346FA0A70" ma:contentTypeVersion="15" ma:contentTypeDescription="Create a new document." ma:contentTypeScope="" ma:versionID="89a772358d84bb9c3f12942d28d85e2e">
  <xsd:schema xmlns:xsd="http://www.w3.org/2001/XMLSchema" xmlns:xs="http://www.w3.org/2001/XMLSchema" xmlns:p="http://schemas.microsoft.com/office/2006/metadata/properties" xmlns:ns2="5b5060b4-db76-4b1d-8791-7391eaa1aa58" xmlns:ns3="1dabb268-9a4b-425f-aee2-f3ac244422dc" targetNamespace="http://schemas.microsoft.com/office/2006/metadata/properties" ma:root="true" ma:fieldsID="a2818426654cd91088f83216ffe263cf" ns2:_="" ns3:_="">
    <xsd:import namespace="5b5060b4-db76-4b1d-8791-7391eaa1aa58"/>
    <xsd:import namespace="1dabb268-9a4b-425f-aee2-f3ac244422d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5060b4-db76-4b1d-8791-7391eaa1aa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abb268-9a4b-425f-aee2-f3ac244422d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0fb0d03-a64d-49ef-8ae0-be41daaf0ad1}" ma:internalName="TaxCatchAll" ma:showField="CatchAllData" ma:web="1dabb268-9a4b-425f-aee2-f3ac244422d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1dabb268-9a4b-425f-aee2-f3ac244422dc" xsi:nil="true"/>
    <lcf76f155ced4ddcb4097134ff3c332f xmlns="5b5060b4-db76-4b1d-8791-7391eaa1aa5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7DD7F8-126F-4BD6-BECB-267A538D3229}"/>
</file>

<file path=customXml/itemProps2.xml><?xml version="1.0" encoding="utf-8"?>
<ds:datastoreItem xmlns:ds="http://schemas.openxmlformats.org/officeDocument/2006/customXml" ds:itemID="{1E991DF7-2408-41D9-BF7E-94D5706E5FBD}">
  <ds:schemaRefs>
    <ds:schemaRef ds:uri="http://schemas.openxmlformats.org/officeDocument/2006/bibliography"/>
  </ds:schemaRefs>
</ds:datastoreItem>
</file>

<file path=customXml/itemProps3.xml><?xml version="1.0" encoding="utf-8"?>
<ds:datastoreItem xmlns:ds="http://schemas.openxmlformats.org/officeDocument/2006/customXml" ds:itemID="{FE52CABF-76FE-4286-94DE-A75797A43572}">
  <ds:schemaRefs>
    <ds:schemaRef ds:uri="http://schemas.microsoft.com/office/2006/metadata/properties"/>
    <ds:schemaRef ds:uri="http://schemas.microsoft.com/office/infopath/2007/PartnerControls"/>
    <ds:schemaRef ds:uri="1dabb268-9a4b-425f-aee2-f3ac244422dc"/>
    <ds:schemaRef ds:uri="5b5060b4-db76-4b1d-8791-7391eaa1aa58"/>
  </ds:schemaRefs>
</ds:datastoreItem>
</file>

<file path=customXml/itemProps4.xml><?xml version="1.0" encoding="utf-8"?>
<ds:datastoreItem xmlns:ds="http://schemas.openxmlformats.org/officeDocument/2006/customXml" ds:itemID="{6D11508D-46FA-4321-812C-DF0F6C6BF9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2348</Words>
  <Characters>12725</Characters>
  <Application>Microsoft Office Word</Application>
  <DocSecurity>0</DocSecurity>
  <Lines>385</Lines>
  <Paragraphs>133</Paragraphs>
  <ScaleCrop>false</ScaleCrop>
  <Company>West Yorkshire Police</Company>
  <LinksUpToDate>false</LinksUpToDate>
  <CharactersWithSpaces>15001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Flenley, Neil</dc:creator>
  <cp:keywords/>
  <dc:description/>
  <cp:lastModifiedBy>Fiona Bernardo</cp:lastModifiedBy>
  <cp:revision>42</cp:revision>
  <cp:lastPrinted>2024-01-22T04:52:00Z</cp:lastPrinted>
  <dcterms:created xsi:type="dcterms:W3CDTF">2025-10-22T10:50:00Z</dcterms:created>
  <dcterms:modified xsi:type="dcterms:W3CDTF">2025-11-25T13:37:00Z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0x010100D70841F7A326EF4BA8107F4346FA0A70</vt:lpwstr>
  </property>
  <property fmtid="{D5CDD505-2E9C-101B-9397-08002B2CF9AE}" pid="3" name="Order">
    <vt:r8>100</vt:r8>
  </property>
  <property fmtid="{D5CDD505-2E9C-101B-9397-08002B2CF9AE}" pid="4" name="MediaServiceImageTags">
    <vt:lpwstr/>
  </property>
  <property fmtid="{D5CDD505-2E9C-101B-9397-08002B2CF9AE}" pid="5" name="Information Asset Owner">
    <vt:lpwstr>1;#Head of Finance|a85dedec-ceac-4a18-95c0-8dff27475fe3</vt:lpwstr>
  </property>
  <property fmtid="{D5CDD505-2E9C-101B-9397-08002B2CF9AE}" pid="6" name="Information_x0020_Asset_x0020_Owner">
    <vt:lpwstr>1;#Head of Finance|a85dedec-ceac-4a18-95c0-8dff27475fe3</vt:lpwstr>
  </property>
</Properties>
</file>