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CA" w:rsidRPr="00394D81" w:rsidRDefault="00600C4E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-114300</wp:posOffset>
                </wp:positionV>
                <wp:extent cx="1174115" cy="2952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E92" w:rsidRPr="00C51E92" w:rsidRDefault="00C51E92" w:rsidP="00C51E92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C51E92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75pt;margin-top:-9pt;width:92.45pt;height:23.2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MogQIAAA8FAAAOAAAAZHJzL2Uyb0RvYy54bWysVMlu2zAQvRfoPxC8O1ogx5YQOWiSqiiQ&#10;LkDSD6BJyiJKkSxJW0qL/nuHlO2oy6EoqgPFZfjmzcwbXl2PvUQHbp3QqsbZRYoRV1QzoXY1/vTY&#10;LNYYOU8UI1IrXuMn7vD15uWLq8FUPNedloxbBCDKVYOpcee9qZLE0Y73xF1owxUcttr2xMPS7hJm&#10;yQDovUzyNL1MBm2ZsZpy52D3bjrEm4jftpz6D23ruEeyxsDNx9HGcRvGZHNFqp0lphP0SIP8A4ue&#10;CAVOz1B3xBO0t+I3qF5Qq51u/QXVfaLbVlAeY4BosvSXaB46YniMBZLjzDlN7v/B0veHjxYJBrXD&#10;SJEeSvTIR49u9IjykJ3BuAqMHgyY+RG2g2WI1Jl7TT87pPRtR9SOv7JWDx0nDNhl4WYyuzrhuACy&#10;Hd5pBm7I3usINLa2D4CQDAToUKWnc2UCFRpcZqsiy5YYUTjLy2W+WkYXpDrdNtb5N1z3KExqbKHy&#10;EZ0c7p0PbEh1MonstRSsEVLGhd1tb6VFBwIqaeJ3RHdzM6mCsdLh2oQ47QBJ8BHOAt1Y9W9llhfp&#10;TV4umsv1alE0xXJRrtL1Is3Km/IyLcrirvkeCGZF1QnGuLoXip8UmBV/V+FjL0zaiRpEQ40hPcup&#10;RHP2bh5kGr8/BdkLDw0pRV/j9dmIVKGwrxWDsEnliZDTPPmZfswy5OD0j1mJMgiVnzTgx+0IKEEb&#10;W82eQBBWQ72g6vCKwKTT9itGA3Rkjd2XPbEcI/lWgajKrChCC8dFsVzlsLDzk+38hCgKUDX2GE3T&#10;Wz+1/d5YsevA00nGr0CIjYgaeWZ1lC90XQzm+EKEtp6vo9XzO7b5AQAA//8DAFBLAwQUAAYACAAA&#10;ACEA8RVv7+AAAAALAQAADwAAAGRycy9kb3ducmV2LnhtbEyPwU7DMBBE70j8g7VI3FqnEWmjEKeq&#10;qLhwQGpBgqMbb+IIex3Zbhr+HvdUjqt9mnlTb2dr2IQ+DI4ErJYZMKTWqYF6AZ8fr4sSWIiSlDSO&#10;UMAvBtg293e1rJS70AGnY+xZCqFQSQE6xrHiPLQarQxLNyKlX+e8lTGdvufKy0sKt4bnWbbmVg6U&#10;GrQc8UVj+3M8WwFfVg9q79+/O2Wm/Vu3K8bZj0I8Psy7Z2AR53iD4aqf1KFJTid3JhWYEVBuNkVC&#10;BSxWZRp1JbJ1/gTsJCAvC+BNzf9vaP4AAAD//wMAUEsBAi0AFAAGAAgAAAAhALaDOJL+AAAA4QEA&#10;ABMAAAAAAAAAAAAAAAAAAAAAAFtDb250ZW50X1R5cGVzXS54bWxQSwECLQAUAAYACAAAACEAOP0h&#10;/9YAAACUAQAACwAAAAAAAAAAAAAAAAAvAQAAX3JlbHMvLnJlbHNQSwECLQAUAAYACAAAACEAoB+D&#10;KIECAAAPBQAADgAAAAAAAAAAAAAAAAAuAgAAZHJzL2Uyb0RvYy54bWxQSwECLQAUAAYACAAAACEA&#10;8RVv7+AAAAALAQAADwAAAAAAAAAAAAAAAADbBAAAZHJzL2Rvd25yZXYueG1sUEsFBgAAAAAEAAQA&#10;8wAAAOgFAAAAAA==&#10;" stroked="f">
                <v:textbox style="mso-fit-shape-to-text:t">
                  <w:txbxContent>
                    <w:p w:rsidR="00C51E92" w:rsidRPr="00C51E92" w:rsidRDefault="00C51E92" w:rsidP="00C51E92">
                      <w:pPr>
                        <w:jc w:val="right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C51E92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Appendix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999" w:rsidRPr="00394D81">
        <w:rPr>
          <w:rFonts w:ascii="Arial Narrow" w:hAnsi="Arial Narrow"/>
          <w:b/>
          <w:sz w:val="28"/>
          <w:szCs w:val="28"/>
        </w:rPr>
        <w:t>Performance indicators</w:t>
      </w:r>
    </w:p>
    <w:p w:rsidR="00570ACA" w:rsidRPr="00394D81" w:rsidRDefault="00570ACA">
      <w:pPr>
        <w:rPr>
          <w:rFonts w:ascii="Arial Narrow" w:hAnsi="Arial Narrow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635"/>
        <w:gridCol w:w="1560"/>
        <w:gridCol w:w="1559"/>
        <w:gridCol w:w="1559"/>
      </w:tblGrid>
      <w:tr w:rsidR="00E55ECE" w:rsidRPr="00394D81" w:rsidTr="00406A14">
        <w:tc>
          <w:tcPr>
            <w:tcW w:w="3028" w:type="dxa"/>
            <w:vMerge w:val="restart"/>
            <w:shd w:val="clear" w:color="auto" w:fill="E0E0E0"/>
          </w:tcPr>
          <w:p w:rsidR="00E55ECE" w:rsidRPr="00394D81" w:rsidRDefault="00E55ECE">
            <w:pPr>
              <w:rPr>
                <w:rFonts w:ascii="Arial Narrow" w:hAnsi="Arial Narrow"/>
                <w:b/>
              </w:rPr>
            </w:pPr>
            <w:r w:rsidRPr="00394D81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3635" w:type="dxa"/>
            <w:vMerge w:val="restart"/>
            <w:shd w:val="clear" w:color="auto" w:fill="E0E0E0"/>
          </w:tcPr>
          <w:p w:rsidR="00E55ECE" w:rsidRPr="00394D81" w:rsidRDefault="00E55ECE">
            <w:pPr>
              <w:rPr>
                <w:rFonts w:ascii="Arial Narrow" w:hAnsi="Arial Narrow"/>
                <w:b/>
              </w:rPr>
            </w:pPr>
            <w:r w:rsidRPr="00394D81">
              <w:rPr>
                <w:rFonts w:ascii="Arial Narrow" w:hAnsi="Arial Narrow"/>
                <w:b/>
              </w:rPr>
              <w:t>Measures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E55ECE" w:rsidRPr="00394D81" w:rsidRDefault="00E55ECE" w:rsidP="009617EB">
            <w:pPr>
              <w:jc w:val="center"/>
              <w:rPr>
                <w:rFonts w:ascii="Arial Narrow" w:hAnsi="Arial Narrow"/>
                <w:b/>
              </w:rPr>
            </w:pPr>
            <w:r w:rsidRPr="00394D81">
              <w:rPr>
                <w:rFonts w:ascii="Arial Narrow" w:hAnsi="Arial Narrow"/>
                <w:b/>
              </w:rPr>
              <w:t>West Yorkshire</w:t>
            </w:r>
          </w:p>
        </w:tc>
      </w:tr>
      <w:tr w:rsidR="00E55ECE" w:rsidRPr="00394D81" w:rsidTr="00E55ECE">
        <w:tc>
          <w:tcPr>
            <w:tcW w:w="3028" w:type="dxa"/>
            <w:vMerge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</w:p>
        </w:tc>
        <w:tc>
          <w:tcPr>
            <w:tcW w:w="3635" w:type="dxa"/>
            <w:vMerge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E0E0E0"/>
          </w:tcPr>
          <w:p w:rsidR="00E55ECE" w:rsidRPr="002D2D11" w:rsidRDefault="002D2D11" w:rsidP="006B0487">
            <w:pPr>
              <w:jc w:val="center"/>
              <w:rPr>
                <w:rFonts w:ascii="Arial Narrow" w:hAnsi="Arial Narrow"/>
                <w:b/>
              </w:rPr>
            </w:pPr>
            <w:r w:rsidRPr="002D2D11">
              <w:rPr>
                <w:rFonts w:ascii="Arial Narrow" w:hAnsi="Arial Narrow"/>
                <w:b/>
              </w:rPr>
              <w:t xml:space="preserve">12 months to </w:t>
            </w:r>
            <w:r w:rsidR="006B0487">
              <w:rPr>
                <w:rFonts w:ascii="Arial Narrow" w:hAnsi="Arial Narrow"/>
                <w:b/>
              </w:rPr>
              <w:t>Dec</w:t>
            </w:r>
            <w:r w:rsidRPr="002D2D11">
              <w:rPr>
                <w:rFonts w:ascii="Arial Narrow" w:hAnsi="Arial Narrow"/>
                <w:b/>
              </w:rPr>
              <w:t>ember</w:t>
            </w:r>
            <w:r w:rsidR="00E55ECE" w:rsidRPr="002D2D11">
              <w:rPr>
                <w:rFonts w:ascii="Arial Narrow" w:hAnsi="Arial Narrow"/>
                <w:b/>
              </w:rPr>
              <w:t xml:space="preserve"> 2013</w:t>
            </w:r>
          </w:p>
        </w:tc>
        <w:tc>
          <w:tcPr>
            <w:tcW w:w="1559" w:type="dxa"/>
            <w:shd w:val="clear" w:color="auto" w:fill="E0E0E0"/>
          </w:tcPr>
          <w:p w:rsidR="00E55ECE" w:rsidRPr="002D2D11" w:rsidRDefault="00E55ECE" w:rsidP="006B0487">
            <w:pPr>
              <w:jc w:val="center"/>
              <w:rPr>
                <w:rFonts w:ascii="Arial Narrow" w:hAnsi="Arial Narrow"/>
                <w:b/>
              </w:rPr>
            </w:pPr>
            <w:r w:rsidRPr="002D2D11">
              <w:rPr>
                <w:rFonts w:ascii="Arial Narrow" w:hAnsi="Arial Narrow"/>
                <w:b/>
              </w:rPr>
              <w:t xml:space="preserve">12 months to </w:t>
            </w:r>
            <w:r w:rsidR="006B0487">
              <w:rPr>
                <w:rFonts w:ascii="Arial Narrow" w:hAnsi="Arial Narrow"/>
                <w:b/>
              </w:rPr>
              <w:t>Dec</w:t>
            </w:r>
            <w:r w:rsidR="002D2D11" w:rsidRPr="002D2D11">
              <w:rPr>
                <w:rFonts w:ascii="Arial Narrow" w:hAnsi="Arial Narrow"/>
                <w:b/>
              </w:rPr>
              <w:t>ember</w:t>
            </w:r>
            <w:r w:rsidRPr="002D2D11">
              <w:rPr>
                <w:rFonts w:ascii="Arial Narrow" w:hAnsi="Arial Narrow"/>
                <w:b/>
              </w:rPr>
              <w:t xml:space="preserve"> 2014</w:t>
            </w:r>
          </w:p>
        </w:tc>
        <w:tc>
          <w:tcPr>
            <w:tcW w:w="1559" w:type="dxa"/>
            <w:shd w:val="clear" w:color="auto" w:fill="E0E0E0"/>
          </w:tcPr>
          <w:p w:rsidR="00E55ECE" w:rsidRPr="00394D81" w:rsidRDefault="00E55ECE" w:rsidP="00F87B98">
            <w:pPr>
              <w:jc w:val="center"/>
              <w:rPr>
                <w:rFonts w:ascii="Arial Narrow" w:hAnsi="Arial Narrow"/>
                <w:b/>
              </w:rPr>
            </w:pPr>
            <w:r w:rsidRPr="00394D81">
              <w:rPr>
                <w:rFonts w:ascii="Arial Narrow" w:hAnsi="Arial Narrow"/>
                <w:b/>
              </w:rPr>
              <w:t>Trend over time</w:t>
            </w:r>
          </w:p>
        </w:tc>
      </w:tr>
      <w:tr w:rsidR="00E55ECE" w:rsidRPr="00394D81" w:rsidTr="003B3DD3">
        <w:tc>
          <w:tcPr>
            <w:tcW w:w="3028" w:type="dxa"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Make communities safer by tackling all forms of crime</w:t>
            </w:r>
          </w:p>
        </w:tc>
        <w:tc>
          <w:tcPr>
            <w:tcW w:w="3635" w:type="dxa"/>
          </w:tcPr>
          <w:p w:rsidR="00E55ECE" w:rsidRPr="00394D81" w:rsidRDefault="00E55ECE" w:rsidP="00C83807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Total recorded crime</w:t>
            </w:r>
          </w:p>
        </w:tc>
        <w:tc>
          <w:tcPr>
            <w:tcW w:w="1560" w:type="dxa"/>
            <w:vAlign w:val="center"/>
          </w:tcPr>
          <w:p w:rsidR="00E55ECE" w:rsidRPr="002D2D11" w:rsidRDefault="006B0487" w:rsidP="00FF68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-3.8</w:t>
            </w:r>
            <w:r w:rsidR="00291B8A" w:rsidRPr="002D2D11">
              <w:rPr>
                <w:rFonts w:ascii="Arial Narrow" w:hAnsi="Arial Narrow"/>
              </w:rPr>
              <w:t>%</w:t>
            </w:r>
            <w:r w:rsidR="00C83807" w:rsidRPr="002D2D11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E55ECE" w:rsidRPr="002D2D11" w:rsidRDefault="006B0487" w:rsidP="003B3D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</w:t>
            </w:r>
            <w:r w:rsidR="002D2D11" w:rsidRPr="002D2D11">
              <w:rPr>
                <w:rFonts w:ascii="Arial Narrow" w:hAnsi="Arial Narrow"/>
              </w:rPr>
              <w:t>.5</w:t>
            </w:r>
            <w:r w:rsidR="00E55ECE" w:rsidRPr="002D2D11">
              <w:rPr>
                <w:rFonts w:ascii="Arial Narrow" w:hAnsi="Arial Narrow"/>
              </w:rPr>
              <w:t>%</w:t>
            </w:r>
            <w:r w:rsidR="00C83807" w:rsidRPr="002D2D11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E55ECE" w:rsidRPr="00394D81" w:rsidRDefault="00E55ECE" w:rsidP="00F87B98">
            <w:pPr>
              <w:jc w:val="center"/>
              <w:rPr>
                <w:rFonts w:ascii="Arial Narrow" w:hAnsi="Arial Narrow"/>
                <w:b/>
                <w:color w:val="92D050"/>
              </w:rPr>
            </w:pPr>
            <w:r w:rsidRPr="00394D81">
              <w:rPr>
                <w:rFonts w:ascii="Arial Narrow" w:hAnsi="Arial Narrow"/>
                <w:b/>
                <w:color w:val="92D050"/>
              </w:rPr>
              <w:t>Improving</w:t>
            </w:r>
            <w:r w:rsidR="00C83807" w:rsidRPr="00C83807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887CE6" w:rsidRPr="00394D81" w:rsidTr="003B3DD3">
        <w:tc>
          <w:tcPr>
            <w:tcW w:w="3028" w:type="dxa"/>
            <w:vMerge w:val="restart"/>
          </w:tcPr>
          <w:p w:rsidR="00887CE6" w:rsidRPr="00394D81" w:rsidRDefault="00887CE6" w:rsidP="00E55E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Reduce the risk of domestic burglary in West Yorkshire</w:t>
            </w:r>
          </w:p>
        </w:tc>
        <w:tc>
          <w:tcPr>
            <w:tcW w:w="3635" w:type="dxa"/>
          </w:tcPr>
          <w:p w:rsidR="00887CE6" w:rsidRPr="00394D81" w:rsidRDefault="00887CE6" w:rsidP="00E55E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 xml:space="preserve">Recorded burglary dwelling </w:t>
            </w:r>
            <w:r w:rsidRPr="00394D81">
              <w:rPr>
                <w:rFonts w:ascii="Arial Narrow" w:hAnsi="Arial Narrow"/>
                <w:sz w:val="20"/>
                <w:szCs w:val="20"/>
              </w:rPr>
              <w:t>(TARGET – performance to be better than similar forces and partnerships)</w:t>
            </w:r>
          </w:p>
        </w:tc>
        <w:tc>
          <w:tcPr>
            <w:tcW w:w="1560" w:type="dxa"/>
            <w:vAlign w:val="center"/>
          </w:tcPr>
          <w:p w:rsidR="00887CE6" w:rsidRPr="002D2D11" w:rsidRDefault="00887CE6" w:rsidP="002D2D11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-1</w:t>
            </w:r>
            <w:r w:rsidR="006B0487">
              <w:rPr>
                <w:rFonts w:ascii="Arial Narrow" w:hAnsi="Arial Narrow"/>
              </w:rPr>
              <w:t>0.6</w:t>
            </w:r>
            <w:r w:rsidRPr="002D2D11">
              <w:rPr>
                <w:rFonts w:ascii="Arial Narrow" w:hAnsi="Arial Narrow"/>
              </w:rPr>
              <w:t>%</w:t>
            </w:r>
            <w:r w:rsidR="00C83807" w:rsidRPr="002D2D11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7CE6" w:rsidRPr="002D2D11" w:rsidRDefault="00887CE6" w:rsidP="006B0487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-</w:t>
            </w:r>
            <w:r w:rsidR="006B0487">
              <w:rPr>
                <w:rFonts w:ascii="Arial Narrow" w:hAnsi="Arial Narrow"/>
              </w:rPr>
              <w:t>14.2</w:t>
            </w:r>
            <w:r w:rsidRPr="002D2D11">
              <w:rPr>
                <w:rFonts w:ascii="Arial Narrow" w:hAnsi="Arial Narrow"/>
              </w:rPr>
              <w:t>%</w:t>
            </w:r>
            <w:r w:rsidR="00C83807" w:rsidRPr="002D2D11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7CE6" w:rsidRPr="00394D81" w:rsidRDefault="00887CE6" w:rsidP="00E55ECE">
            <w:pPr>
              <w:jc w:val="center"/>
              <w:rPr>
                <w:rFonts w:ascii="Arial Narrow" w:hAnsi="Arial Narrow"/>
                <w:b/>
                <w:color w:val="92D050"/>
              </w:rPr>
            </w:pPr>
            <w:r w:rsidRPr="00394D81">
              <w:rPr>
                <w:rFonts w:ascii="Arial Narrow" w:hAnsi="Arial Narrow"/>
                <w:b/>
                <w:color w:val="92D050"/>
              </w:rPr>
              <w:t>Improving</w:t>
            </w:r>
            <w:r w:rsidR="00C83807" w:rsidRPr="00C83807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887CE6" w:rsidRPr="00394D81" w:rsidTr="003B3DD3">
        <w:tc>
          <w:tcPr>
            <w:tcW w:w="3028" w:type="dxa"/>
            <w:vMerge/>
          </w:tcPr>
          <w:p w:rsidR="00887CE6" w:rsidRPr="00394D81" w:rsidRDefault="00887CE6" w:rsidP="00887CE6">
            <w:pPr>
              <w:rPr>
                <w:rFonts w:ascii="Arial Narrow" w:hAnsi="Arial Narrow"/>
              </w:rPr>
            </w:pPr>
          </w:p>
        </w:tc>
        <w:tc>
          <w:tcPr>
            <w:tcW w:w="3635" w:type="dxa"/>
          </w:tcPr>
          <w:p w:rsidR="00887CE6" w:rsidRPr="00394D81" w:rsidRDefault="00887CE6" w:rsidP="00887CE6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Risk of household crime</w:t>
            </w:r>
          </w:p>
        </w:tc>
        <w:tc>
          <w:tcPr>
            <w:tcW w:w="1560" w:type="dxa"/>
            <w:vAlign w:val="center"/>
          </w:tcPr>
          <w:p w:rsidR="002D2D11" w:rsidRPr="002D2D11" w:rsidRDefault="006B0487" w:rsidP="002D2D11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14.3</w:t>
            </w:r>
            <w:r w:rsidR="00887CE6" w:rsidRPr="002D2D11">
              <w:rPr>
                <w:rFonts w:ascii="Arial Narrow" w:hAnsi="Arial Narrow"/>
              </w:rPr>
              <w:t>%</w:t>
            </w:r>
            <w:r>
              <w:rPr>
                <w:rFonts w:ascii="Arial Narrow" w:hAnsi="Arial Narrow"/>
                <w:sz w:val="20"/>
                <w:szCs w:val="20"/>
              </w:rPr>
              <w:t xml:space="preserve"> (Sep</w:t>
            </w:r>
            <w:r w:rsidR="002D2D11" w:rsidRPr="002D2D11">
              <w:rPr>
                <w:rFonts w:ascii="Arial Narrow" w:hAnsi="Arial Narrow"/>
                <w:sz w:val="20"/>
                <w:szCs w:val="20"/>
              </w:rPr>
              <w:t xml:space="preserve"> 13)</w:t>
            </w:r>
          </w:p>
        </w:tc>
        <w:tc>
          <w:tcPr>
            <w:tcW w:w="1559" w:type="dxa"/>
            <w:vAlign w:val="center"/>
          </w:tcPr>
          <w:p w:rsidR="00887CE6" w:rsidRPr="002D2D11" w:rsidRDefault="002D2D11" w:rsidP="006B0487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11.</w:t>
            </w:r>
            <w:r w:rsidR="006B0487">
              <w:rPr>
                <w:rFonts w:ascii="Arial Narrow" w:hAnsi="Arial Narrow"/>
              </w:rPr>
              <w:t>9</w:t>
            </w:r>
            <w:r w:rsidR="00887CE6" w:rsidRPr="002D2D11">
              <w:rPr>
                <w:rFonts w:ascii="Arial Narrow" w:hAnsi="Arial Narrow"/>
              </w:rPr>
              <w:t>%</w:t>
            </w:r>
            <w:r w:rsidRPr="002D2D11">
              <w:rPr>
                <w:rFonts w:ascii="Arial Narrow" w:hAnsi="Arial Narrow"/>
              </w:rPr>
              <w:t xml:space="preserve"> </w:t>
            </w:r>
            <w:r w:rsidRPr="002D2D11">
              <w:rPr>
                <w:rFonts w:ascii="Arial Narrow" w:hAnsi="Arial Narrow"/>
                <w:sz w:val="20"/>
                <w:szCs w:val="20"/>
              </w:rPr>
              <w:t>(</w:t>
            </w:r>
            <w:r w:rsidR="006B0487">
              <w:rPr>
                <w:rFonts w:ascii="Arial Narrow" w:hAnsi="Arial Narrow"/>
                <w:sz w:val="20"/>
                <w:szCs w:val="20"/>
              </w:rPr>
              <w:t>Sep</w:t>
            </w:r>
            <w:r w:rsidRPr="002D2D11">
              <w:rPr>
                <w:rFonts w:ascii="Arial Narrow" w:hAnsi="Arial Narrow"/>
                <w:sz w:val="20"/>
                <w:szCs w:val="20"/>
              </w:rPr>
              <w:t xml:space="preserve"> 14)</w:t>
            </w:r>
          </w:p>
        </w:tc>
        <w:tc>
          <w:tcPr>
            <w:tcW w:w="1559" w:type="dxa"/>
            <w:vAlign w:val="center"/>
          </w:tcPr>
          <w:p w:rsidR="00887CE6" w:rsidRPr="00394D81" w:rsidRDefault="00887CE6" w:rsidP="00887CE6">
            <w:pPr>
              <w:jc w:val="center"/>
              <w:rPr>
                <w:rFonts w:ascii="Arial Narrow" w:hAnsi="Arial Narrow"/>
                <w:b/>
                <w:color w:val="92D050"/>
              </w:rPr>
            </w:pPr>
            <w:r w:rsidRPr="00394D81">
              <w:rPr>
                <w:rFonts w:ascii="Arial Narrow" w:hAnsi="Arial Narrow"/>
                <w:b/>
                <w:color w:val="92D050"/>
              </w:rPr>
              <w:t>Improving</w:t>
            </w:r>
          </w:p>
        </w:tc>
      </w:tr>
      <w:tr w:rsidR="00E55ECE" w:rsidRPr="00394D81" w:rsidTr="003B3DD3">
        <w:tc>
          <w:tcPr>
            <w:tcW w:w="3028" w:type="dxa"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Respond to reports of anti-social behaviour in a way that victims are happy with</w:t>
            </w:r>
          </w:p>
        </w:tc>
        <w:tc>
          <w:tcPr>
            <w:tcW w:w="3635" w:type="dxa"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Satisfaction with service delivery</w:t>
            </w:r>
          </w:p>
        </w:tc>
        <w:tc>
          <w:tcPr>
            <w:tcW w:w="1560" w:type="dxa"/>
            <w:vAlign w:val="center"/>
          </w:tcPr>
          <w:p w:rsidR="00E55ECE" w:rsidRPr="002D2D11" w:rsidRDefault="00834DF4" w:rsidP="00615164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8</w:t>
            </w:r>
            <w:r w:rsidR="002D2D11" w:rsidRPr="002D2D11">
              <w:rPr>
                <w:rFonts w:ascii="Arial Narrow" w:hAnsi="Arial Narrow"/>
              </w:rPr>
              <w:t>1.</w:t>
            </w:r>
            <w:r w:rsidR="00615164">
              <w:rPr>
                <w:rFonts w:ascii="Arial Narrow" w:hAnsi="Arial Narrow"/>
              </w:rPr>
              <w:t>2</w:t>
            </w:r>
            <w:r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E55ECE" w:rsidRPr="002D2D11" w:rsidRDefault="00615164" w:rsidP="003B3D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79.9</w:t>
            </w:r>
            <w:r w:rsidR="00E55ECE"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E55ECE" w:rsidRPr="00394D81" w:rsidRDefault="00214489" w:rsidP="00F87B9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C000"/>
              </w:rPr>
              <w:t>S</w:t>
            </w:r>
            <w:r w:rsidR="002D2D11">
              <w:rPr>
                <w:rFonts w:ascii="Arial Narrow" w:hAnsi="Arial Narrow"/>
                <w:b/>
                <w:color w:val="FFC000"/>
              </w:rPr>
              <w:t>light deterioration</w:t>
            </w:r>
          </w:p>
        </w:tc>
      </w:tr>
      <w:tr w:rsidR="00E55ECE" w:rsidRPr="00394D81" w:rsidTr="003B3DD3">
        <w:tc>
          <w:tcPr>
            <w:tcW w:w="3028" w:type="dxa"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Respond to reports to anti-social behaviour in a way that communities are happy with</w:t>
            </w:r>
          </w:p>
        </w:tc>
        <w:tc>
          <w:tcPr>
            <w:tcW w:w="3635" w:type="dxa"/>
          </w:tcPr>
          <w:p w:rsidR="00E55ECE" w:rsidRPr="00394D81" w:rsidRDefault="00E55ECE" w:rsidP="00F87B98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Proportion of residents saying anti-social behaviour has got worse over the last 12 months</w:t>
            </w:r>
          </w:p>
        </w:tc>
        <w:tc>
          <w:tcPr>
            <w:tcW w:w="1560" w:type="dxa"/>
            <w:vAlign w:val="center"/>
          </w:tcPr>
          <w:p w:rsidR="00E55ECE" w:rsidRPr="002D2D11" w:rsidRDefault="002D2D11" w:rsidP="00615164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12.</w:t>
            </w:r>
            <w:r w:rsidR="00615164">
              <w:rPr>
                <w:rFonts w:ascii="Arial Narrow" w:hAnsi="Arial Narrow"/>
              </w:rPr>
              <w:t>2</w:t>
            </w:r>
            <w:r w:rsidR="00834DF4"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E55ECE" w:rsidRPr="002D2D11" w:rsidRDefault="00615164" w:rsidP="006151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</w:t>
            </w:r>
            <w:r w:rsidR="00E55ECE"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E55ECE" w:rsidRPr="00394D81" w:rsidRDefault="00E55ECE" w:rsidP="00F87B98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5500E6" w:rsidRPr="00394D81" w:rsidTr="003B3DD3">
        <w:tc>
          <w:tcPr>
            <w:tcW w:w="3028" w:type="dxa"/>
          </w:tcPr>
          <w:p w:rsidR="005500E6" w:rsidRPr="00394D81" w:rsidRDefault="005500E6" w:rsidP="005500E6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Improve the quality of support provided to victims of crime and incidents</w:t>
            </w:r>
          </w:p>
        </w:tc>
        <w:tc>
          <w:tcPr>
            <w:tcW w:w="3635" w:type="dxa"/>
          </w:tcPr>
          <w:p w:rsidR="005500E6" w:rsidRPr="00394D81" w:rsidRDefault="005500E6" w:rsidP="005500E6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Satisfaction with overall service</w:t>
            </w:r>
          </w:p>
        </w:tc>
        <w:tc>
          <w:tcPr>
            <w:tcW w:w="1560" w:type="dxa"/>
            <w:vAlign w:val="center"/>
          </w:tcPr>
          <w:p w:rsidR="005500E6" w:rsidRPr="002D2D11" w:rsidRDefault="005500E6" w:rsidP="00615164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88</w:t>
            </w:r>
            <w:r w:rsidR="002D2D11" w:rsidRPr="002D2D11">
              <w:rPr>
                <w:rFonts w:ascii="Arial Narrow" w:hAnsi="Arial Narrow"/>
              </w:rPr>
              <w:t>.</w:t>
            </w:r>
            <w:r w:rsidR="00615164">
              <w:rPr>
                <w:rFonts w:ascii="Arial Narrow" w:hAnsi="Arial Narrow"/>
              </w:rPr>
              <w:t>2</w:t>
            </w:r>
            <w:r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5500E6" w:rsidRPr="002D2D11" w:rsidRDefault="005500E6" w:rsidP="00615164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8</w:t>
            </w:r>
            <w:r w:rsidR="002D2D11" w:rsidRPr="002D2D11">
              <w:rPr>
                <w:rFonts w:ascii="Arial Narrow" w:hAnsi="Arial Narrow"/>
              </w:rPr>
              <w:t>8.</w:t>
            </w:r>
            <w:r w:rsidR="00615164">
              <w:rPr>
                <w:rFonts w:ascii="Arial Narrow" w:hAnsi="Arial Narrow"/>
              </w:rPr>
              <w:t>2</w:t>
            </w:r>
            <w:r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5500E6" w:rsidRPr="00394D81" w:rsidRDefault="005500E6" w:rsidP="005500E6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2D2D11" w:rsidRPr="00394D81" w:rsidTr="003B3DD3">
        <w:tc>
          <w:tcPr>
            <w:tcW w:w="3028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Improve the outcomes for victims of hate crime/incidents</w:t>
            </w: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Satisfaction levels for racist incidents</w:t>
            </w:r>
          </w:p>
        </w:tc>
        <w:tc>
          <w:tcPr>
            <w:tcW w:w="1560" w:type="dxa"/>
            <w:vAlign w:val="center"/>
          </w:tcPr>
          <w:p w:rsidR="002D2D11" w:rsidRPr="002D2D11" w:rsidRDefault="002D2D11" w:rsidP="00615164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8</w:t>
            </w:r>
            <w:r w:rsidR="00615164">
              <w:rPr>
                <w:rFonts w:ascii="Arial Narrow" w:hAnsi="Arial Narrow"/>
              </w:rPr>
              <w:t>6.</w:t>
            </w:r>
            <w:r w:rsidRPr="002D2D11">
              <w:rPr>
                <w:rFonts w:ascii="Arial Narrow" w:hAnsi="Arial Narrow"/>
              </w:rPr>
              <w:t>5%</w:t>
            </w:r>
          </w:p>
        </w:tc>
        <w:tc>
          <w:tcPr>
            <w:tcW w:w="1559" w:type="dxa"/>
            <w:vAlign w:val="center"/>
          </w:tcPr>
          <w:p w:rsidR="002D2D11" w:rsidRPr="002D2D11" w:rsidRDefault="002D2D11" w:rsidP="002D2D11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8</w:t>
            </w:r>
            <w:r w:rsidR="00615164">
              <w:rPr>
                <w:rFonts w:ascii="Arial Narrow" w:hAnsi="Arial Narrow"/>
              </w:rPr>
              <w:t>3.1</w:t>
            </w:r>
            <w:r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2D2D11" w:rsidRPr="00394D81" w:rsidRDefault="00615164" w:rsidP="002D2D11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color w:val="FFC000"/>
              </w:rPr>
              <w:t>Slight deterioration</w:t>
            </w:r>
          </w:p>
        </w:tc>
      </w:tr>
      <w:tr w:rsidR="002D2D11" w:rsidRPr="00394D81" w:rsidTr="003B3DD3">
        <w:tc>
          <w:tcPr>
            <w:tcW w:w="3028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Protect those who are affected by domestic abuse</w:t>
            </w: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Repeat victimisation rate for domestic abuse</w:t>
            </w:r>
          </w:p>
        </w:tc>
        <w:tc>
          <w:tcPr>
            <w:tcW w:w="1560" w:type="dxa"/>
            <w:vAlign w:val="center"/>
          </w:tcPr>
          <w:p w:rsidR="002D2D11" w:rsidRPr="002D2D11" w:rsidRDefault="00615164" w:rsidP="002D2D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33.5</w:t>
            </w:r>
            <w:r w:rsidR="002D2D11"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2D2D11" w:rsidRPr="002D2D11" w:rsidRDefault="002D2D11" w:rsidP="00615164">
            <w:pPr>
              <w:jc w:val="center"/>
              <w:rPr>
                <w:rFonts w:ascii="Arial Narrow" w:hAnsi="Arial Narrow"/>
              </w:rPr>
            </w:pPr>
            <w:r w:rsidRPr="002D2D11">
              <w:rPr>
                <w:rFonts w:ascii="Arial Narrow" w:hAnsi="Arial Narrow"/>
              </w:rPr>
              <w:t>3</w:t>
            </w:r>
            <w:r w:rsidR="00615164">
              <w:rPr>
                <w:rFonts w:ascii="Arial Narrow" w:hAnsi="Arial Narrow"/>
              </w:rPr>
              <w:t>4.2</w:t>
            </w:r>
            <w:r w:rsidRPr="002D2D11">
              <w:rPr>
                <w:rFonts w:ascii="Arial Narrow" w:hAnsi="Arial Narrow"/>
              </w:rPr>
              <w:t>%</w:t>
            </w:r>
          </w:p>
        </w:tc>
        <w:tc>
          <w:tcPr>
            <w:tcW w:w="1559" w:type="dxa"/>
            <w:vAlign w:val="center"/>
          </w:tcPr>
          <w:p w:rsidR="002D2D11" w:rsidRPr="00394D81" w:rsidRDefault="002D2D11" w:rsidP="002D2D11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2D2D11" w:rsidRPr="00394D81" w:rsidTr="003B3DD3">
        <w:tc>
          <w:tcPr>
            <w:tcW w:w="3028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Increase identification of those children at risk of harm</w:t>
            </w: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Number of children supported through safeguarding activity</w:t>
            </w:r>
          </w:p>
        </w:tc>
        <w:tc>
          <w:tcPr>
            <w:tcW w:w="1560" w:type="dxa"/>
            <w:vAlign w:val="center"/>
          </w:tcPr>
          <w:p w:rsidR="002D2D11" w:rsidRPr="00020BA6" w:rsidRDefault="00615164" w:rsidP="002D2D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8,939</w:t>
            </w:r>
          </w:p>
          <w:p w:rsidR="002D2D11" w:rsidRPr="00020BA6" w:rsidRDefault="00020BA6" w:rsidP="006151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0BA6">
              <w:rPr>
                <w:rFonts w:ascii="Arial Narrow" w:hAnsi="Arial Narrow"/>
                <w:sz w:val="20"/>
                <w:szCs w:val="20"/>
              </w:rPr>
              <w:t>(Apr-</w:t>
            </w:r>
            <w:r w:rsidR="00615164">
              <w:rPr>
                <w:rFonts w:ascii="Arial Narrow" w:hAnsi="Arial Narrow"/>
                <w:sz w:val="20"/>
                <w:szCs w:val="20"/>
              </w:rPr>
              <w:t>Dec</w:t>
            </w:r>
            <w:r w:rsidR="002D2D11" w:rsidRPr="00020B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2F6F">
              <w:rPr>
                <w:rFonts w:ascii="Arial Narrow" w:hAnsi="Arial Narrow"/>
                <w:sz w:val="20"/>
                <w:szCs w:val="20"/>
              </w:rPr>
              <w:t>2013</w:t>
            </w:r>
            <w:r w:rsidR="002D2D11" w:rsidRPr="00020BA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D2D11" w:rsidRPr="00020BA6" w:rsidRDefault="00615164" w:rsidP="002D2D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9,797</w:t>
            </w:r>
          </w:p>
          <w:p w:rsidR="002D2D11" w:rsidRPr="00020BA6" w:rsidRDefault="00020BA6" w:rsidP="006151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0BA6">
              <w:rPr>
                <w:rFonts w:ascii="Arial Narrow" w:hAnsi="Arial Narrow"/>
                <w:sz w:val="20"/>
                <w:szCs w:val="20"/>
              </w:rPr>
              <w:t>(Apr-</w:t>
            </w:r>
            <w:r w:rsidR="00615164">
              <w:rPr>
                <w:rFonts w:ascii="Arial Narrow" w:hAnsi="Arial Narrow"/>
                <w:sz w:val="20"/>
                <w:szCs w:val="20"/>
              </w:rPr>
              <w:t>Dec</w:t>
            </w:r>
            <w:r w:rsidR="002D2D11" w:rsidRPr="00020B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2F6F">
              <w:rPr>
                <w:rFonts w:ascii="Arial Narrow" w:hAnsi="Arial Narrow"/>
                <w:sz w:val="20"/>
                <w:szCs w:val="20"/>
              </w:rPr>
              <w:t>2014</w:t>
            </w:r>
            <w:r w:rsidR="002D2D11" w:rsidRPr="00020BA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D2D11" w:rsidRPr="00394D81" w:rsidRDefault="00615164" w:rsidP="002D2D11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92D050"/>
              </w:rPr>
              <w:t>Improving</w:t>
            </w:r>
          </w:p>
        </w:tc>
      </w:tr>
      <w:tr w:rsidR="002D2D11" w:rsidRPr="00394D81" w:rsidTr="003B3DD3">
        <w:tc>
          <w:tcPr>
            <w:tcW w:w="3028" w:type="dxa"/>
            <w:vMerge w:val="restart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Create a more effective criminal justice system that has the victims needs at its heart</w:t>
            </w: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Conviction rate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Mags – 82.8%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CC – 80.9%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(2012/13)</w:t>
            </w:r>
          </w:p>
        </w:tc>
        <w:tc>
          <w:tcPr>
            <w:tcW w:w="1559" w:type="dxa"/>
            <w:vAlign w:val="center"/>
          </w:tcPr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Mags – 81.6%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CC – 82.5%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(2013/14)</w:t>
            </w:r>
          </w:p>
        </w:tc>
        <w:tc>
          <w:tcPr>
            <w:tcW w:w="1559" w:type="dxa"/>
            <w:vAlign w:val="center"/>
          </w:tcPr>
          <w:p w:rsidR="002D2D11" w:rsidRPr="00394D81" w:rsidRDefault="002D2D11" w:rsidP="002D2D11">
            <w:pPr>
              <w:jc w:val="center"/>
              <w:rPr>
                <w:rFonts w:ascii="Arial Narrow" w:hAnsi="Arial Narrow"/>
                <w:b/>
                <w:color w:val="92D050"/>
              </w:rPr>
            </w:pPr>
            <w:r w:rsidRPr="00394D81">
              <w:rPr>
                <w:rFonts w:ascii="Arial Narrow" w:hAnsi="Arial Narrow"/>
                <w:b/>
                <w:color w:val="92D050"/>
              </w:rPr>
              <w:t>Improving</w:t>
            </w:r>
          </w:p>
        </w:tc>
      </w:tr>
      <w:tr w:rsidR="002D2D11" w:rsidRPr="00394D81" w:rsidTr="003B3DD3">
        <w:tc>
          <w:tcPr>
            <w:tcW w:w="3028" w:type="dxa"/>
            <w:vMerge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Ineffective trial rate</w:t>
            </w:r>
          </w:p>
        </w:tc>
        <w:tc>
          <w:tcPr>
            <w:tcW w:w="1560" w:type="dxa"/>
            <w:vAlign w:val="center"/>
          </w:tcPr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M – 19.9%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CC – 11.0%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(2012/13)</w:t>
            </w:r>
          </w:p>
        </w:tc>
        <w:tc>
          <w:tcPr>
            <w:tcW w:w="1559" w:type="dxa"/>
            <w:vAlign w:val="center"/>
          </w:tcPr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M – 17.4%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CC – 11.4%</w:t>
            </w:r>
          </w:p>
          <w:p w:rsidR="002D2D11" w:rsidRPr="00EA62CE" w:rsidRDefault="002D2D11" w:rsidP="002D2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(2013/14)</w:t>
            </w:r>
          </w:p>
        </w:tc>
        <w:tc>
          <w:tcPr>
            <w:tcW w:w="1559" w:type="dxa"/>
            <w:vAlign w:val="center"/>
          </w:tcPr>
          <w:p w:rsidR="002D2D11" w:rsidRPr="00C83807" w:rsidRDefault="002D2D11" w:rsidP="002D2D11">
            <w:pPr>
              <w:jc w:val="center"/>
              <w:rPr>
                <w:rFonts w:ascii="Arial Narrow" w:hAnsi="Arial Narrow"/>
                <w:b/>
                <w:color w:val="92D050"/>
              </w:rPr>
            </w:pPr>
            <w:r w:rsidRPr="00C83807">
              <w:rPr>
                <w:rFonts w:ascii="Arial Narrow" w:hAnsi="Arial Narrow"/>
                <w:b/>
                <w:color w:val="92D050"/>
              </w:rPr>
              <w:t>Improving</w:t>
            </w:r>
          </w:p>
          <w:p w:rsidR="002D2D11" w:rsidRPr="00394D81" w:rsidRDefault="002D2D11" w:rsidP="002D2D11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2D2D11" w:rsidRPr="00394D81" w:rsidTr="006D6775">
        <w:tc>
          <w:tcPr>
            <w:tcW w:w="3028" w:type="dxa"/>
            <w:vMerge w:val="restart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Improve the outcomes for victims of sexual violence</w:t>
            </w: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 xml:space="preserve">Conviction rate for sexual offences </w:t>
            </w:r>
            <w:r w:rsidRPr="00394D81">
              <w:rPr>
                <w:rFonts w:ascii="Arial Narrow" w:hAnsi="Arial Narrow"/>
                <w:sz w:val="20"/>
                <w:szCs w:val="20"/>
              </w:rPr>
              <w:t>(excluding rape)</w:t>
            </w:r>
          </w:p>
        </w:tc>
        <w:tc>
          <w:tcPr>
            <w:tcW w:w="1560" w:type="dxa"/>
            <w:vAlign w:val="center"/>
          </w:tcPr>
          <w:p w:rsidR="002D2D11" w:rsidRPr="00EA62CE" w:rsidRDefault="002D2D11" w:rsidP="002D2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</w:rPr>
              <w:t>NYA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2D11" w:rsidRPr="00EA62CE" w:rsidRDefault="002D2D11" w:rsidP="002D2D11">
            <w:pPr>
              <w:jc w:val="center"/>
            </w:pPr>
            <w:r w:rsidRPr="00EA62CE">
              <w:rPr>
                <w:rFonts w:ascii="Arial Narrow" w:hAnsi="Arial Narrow"/>
              </w:rPr>
              <w:t>NYA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2D11" w:rsidRDefault="002D2D11" w:rsidP="002D2D11">
            <w:pPr>
              <w:jc w:val="center"/>
            </w:pPr>
            <w:r w:rsidRPr="00567C89">
              <w:rPr>
                <w:rFonts w:ascii="Arial Narrow" w:hAnsi="Arial Narrow"/>
              </w:rPr>
              <w:t>NYA</w:t>
            </w:r>
          </w:p>
        </w:tc>
      </w:tr>
      <w:tr w:rsidR="002D2D11" w:rsidRPr="00394D81" w:rsidTr="006D6775">
        <w:tc>
          <w:tcPr>
            <w:tcW w:w="3028" w:type="dxa"/>
            <w:vMerge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Conviction rate for rape</w:t>
            </w:r>
          </w:p>
        </w:tc>
        <w:tc>
          <w:tcPr>
            <w:tcW w:w="1560" w:type="dxa"/>
            <w:vAlign w:val="center"/>
          </w:tcPr>
          <w:p w:rsidR="002D2D11" w:rsidRPr="00EA62CE" w:rsidRDefault="002D2D11" w:rsidP="002D2D11">
            <w:pPr>
              <w:jc w:val="center"/>
            </w:pPr>
            <w:r w:rsidRPr="00EA62CE">
              <w:rPr>
                <w:rFonts w:ascii="Arial Narrow" w:hAnsi="Arial Narrow"/>
              </w:rPr>
              <w:t>NYA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2D11" w:rsidRPr="00EA62CE" w:rsidRDefault="002D2D11" w:rsidP="002D2D11">
            <w:pPr>
              <w:jc w:val="center"/>
            </w:pPr>
            <w:r w:rsidRPr="00EA62CE">
              <w:rPr>
                <w:rFonts w:ascii="Arial Narrow" w:hAnsi="Arial Narrow"/>
              </w:rPr>
              <w:t>NYA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2D11" w:rsidRDefault="002D2D11" w:rsidP="002D2D11">
            <w:pPr>
              <w:jc w:val="center"/>
            </w:pPr>
            <w:r w:rsidRPr="00AE57A2">
              <w:rPr>
                <w:rFonts w:ascii="Arial Narrow" w:hAnsi="Arial Narrow"/>
              </w:rPr>
              <w:t>NYA</w:t>
            </w:r>
          </w:p>
        </w:tc>
      </w:tr>
      <w:tr w:rsidR="002D2D11" w:rsidRPr="00394D81" w:rsidTr="003B3DD3">
        <w:tc>
          <w:tcPr>
            <w:tcW w:w="3028" w:type="dxa"/>
            <w:vMerge w:val="restart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Reduce</w:t>
            </w:r>
            <w:r w:rsidRPr="00394D81">
              <w:rPr>
                <w:rFonts w:ascii="Arial Narrow" w:hAnsi="Arial Narrow"/>
              </w:rPr>
              <w:t xml:space="preserve"> the re-offending of persistent criminals who cause harm to our communities</w:t>
            </w:r>
          </w:p>
        </w:tc>
        <w:tc>
          <w:tcPr>
            <w:tcW w:w="3635" w:type="dxa"/>
          </w:tcPr>
          <w:p w:rsidR="002D2D11" w:rsidRPr="00394D81" w:rsidRDefault="002D2D11" w:rsidP="002D2D11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Re-offending rates of adults</w:t>
            </w:r>
          </w:p>
        </w:tc>
        <w:tc>
          <w:tcPr>
            <w:tcW w:w="1560" w:type="dxa"/>
            <w:vAlign w:val="center"/>
          </w:tcPr>
          <w:p w:rsidR="002D2D11" w:rsidRPr="00EA62CE" w:rsidRDefault="00615164" w:rsidP="006151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25.2</w:t>
            </w:r>
            <w:r w:rsidR="002D2D11" w:rsidRPr="00EA62CE">
              <w:rPr>
                <w:rFonts w:ascii="Arial Narrow" w:hAnsi="Arial Narrow"/>
              </w:rPr>
              <w:t xml:space="preserve">% </w:t>
            </w:r>
            <w:r w:rsidR="002D2D11" w:rsidRPr="00EA62CE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Mar 12</w:t>
            </w:r>
            <w:r w:rsidR="002D2D11" w:rsidRPr="00EA62C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2D11" w:rsidRPr="00EA62CE" w:rsidRDefault="002D2D11" w:rsidP="00615164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25.</w:t>
            </w:r>
            <w:r w:rsidR="00615164">
              <w:rPr>
                <w:rFonts w:ascii="Arial Narrow" w:hAnsi="Arial Narrow"/>
              </w:rPr>
              <w:t>1</w:t>
            </w:r>
            <w:r w:rsidRPr="00EA62CE">
              <w:rPr>
                <w:rFonts w:ascii="Arial Narrow" w:hAnsi="Arial Narrow"/>
              </w:rPr>
              <w:t xml:space="preserve">% </w:t>
            </w:r>
            <w:r w:rsidRPr="00EA62CE">
              <w:rPr>
                <w:rFonts w:ascii="Arial Narrow" w:hAnsi="Arial Narrow"/>
                <w:sz w:val="20"/>
                <w:szCs w:val="20"/>
              </w:rPr>
              <w:t>(</w:t>
            </w:r>
            <w:r w:rsidR="00615164">
              <w:rPr>
                <w:rFonts w:ascii="Arial Narrow" w:hAnsi="Arial Narrow"/>
                <w:sz w:val="20"/>
                <w:szCs w:val="20"/>
              </w:rPr>
              <w:t>Mar 13</w:t>
            </w:r>
            <w:r w:rsidRPr="00EA62C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2D11" w:rsidRPr="00394D81" w:rsidRDefault="002D2D11" w:rsidP="002D2D11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EA62CE" w:rsidRPr="00394D81" w:rsidTr="003B3DD3">
        <w:tc>
          <w:tcPr>
            <w:tcW w:w="3028" w:type="dxa"/>
            <w:vMerge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</w:p>
        </w:tc>
        <w:tc>
          <w:tcPr>
            <w:tcW w:w="3635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Re-offending rates of young people</w:t>
            </w:r>
          </w:p>
        </w:tc>
        <w:tc>
          <w:tcPr>
            <w:tcW w:w="1560" w:type="dxa"/>
            <w:vAlign w:val="center"/>
          </w:tcPr>
          <w:p w:rsidR="00EA62CE" w:rsidRPr="00EA62CE" w:rsidRDefault="00615164" w:rsidP="006151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  <w:r w:rsidR="00EA62CE" w:rsidRPr="00EA62CE">
              <w:rPr>
                <w:rFonts w:ascii="Arial Narrow" w:hAnsi="Arial Narrow"/>
              </w:rPr>
              <w:t xml:space="preserve">.6% </w:t>
            </w:r>
            <w:r w:rsidR="00EA62CE" w:rsidRPr="00EA62CE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Mar 12</w:t>
            </w:r>
            <w:r w:rsidR="00EA62CE" w:rsidRPr="00EA62C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A62CE" w:rsidRPr="00EA62CE" w:rsidRDefault="00EA62CE" w:rsidP="00615164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3</w:t>
            </w:r>
            <w:r w:rsidR="00615164">
              <w:rPr>
                <w:rFonts w:ascii="Arial Narrow" w:hAnsi="Arial Narrow"/>
              </w:rPr>
              <w:t>6.1</w:t>
            </w:r>
            <w:r w:rsidRPr="00EA62CE">
              <w:rPr>
                <w:rFonts w:ascii="Arial Narrow" w:hAnsi="Arial Narrow"/>
              </w:rPr>
              <w:t xml:space="preserve">% </w:t>
            </w:r>
            <w:r w:rsidRPr="00EA62CE">
              <w:rPr>
                <w:rFonts w:ascii="Arial Narrow" w:hAnsi="Arial Narrow"/>
                <w:sz w:val="20"/>
                <w:szCs w:val="20"/>
              </w:rPr>
              <w:t>(</w:t>
            </w:r>
            <w:r w:rsidR="00615164">
              <w:rPr>
                <w:rFonts w:ascii="Arial Narrow" w:hAnsi="Arial Narrow"/>
                <w:sz w:val="20"/>
                <w:szCs w:val="20"/>
              </w:rPr>
              <w:t>Mar 13</w:t>
            </w:r>
            <w:r w:rsidRPr="00EA62C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A62CE" w:rsidRPr="00394D81" w:rsidRDefault="00C45ED7" w:rsidP="00EA62CE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color w:val="FFC000"/>
              </w:rPr>
              <w:t>Slight deterioration</w:t>
            </w:r>
          </w:p>
        </w:tc>
      </w:tr>
      <w:tr w:rsidR="00EA62CE" w:rsidRPr="00394D81" w:rsidTr="003B3DD3">
        <w:trPr>
          <w:trHeight w:val="62"/>
        </w:trPr>
        <w:tc>
          <w:tcPr>
            <w:tcW w:w="3028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Maximise the proportion of police officers engaged in operational activity</w:t>
            </w:r>
          </w:p>
        </w:tc>
        <w:tc>
          <w:tcPr>
            <w:tcW w:w="3635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% of police officers in operational functions</w:t>
            </w:r>
          </w:p>
        </w:tc>
        <w:tc>
          <w:tcPr>
            <w:tcW w:w="1560" w:type="dxa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94.2%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94.3%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394D81" w:rsidRDefault="00EA62CE" w:rsidP="00EA62CE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EA62CE" w:rsidRPr="00394D81" w:rsidTr="003B3DD3">
        <w:trPr>
          <w:trHeight w:val="62"/>
        </w:trPr>
        <w:tc>
          <w:tcPr>
            <w:tcW w:w="3028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Strive for a police workforce that is representative of the communities it serves</w:t>
            </w:r>
          </w:p>
        </w:tc>
        <w:tc>
          <w:tcPr>
            <w:tcW w:w="3635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Proportion of police workforce from a minority ethnic background</w:t>
            </w:r>
          </w:p>
        </w:tc>
        <w:tc>
          <w:tcPr>
            <w:tcW w:w="1560" w:type="dxa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 xml:space="preserve">4.9% </w:t>
            </w:r>
            <w:r w:rsidRPr="00EA62CE">
              <w:rPr>
                <w:rFonts w:ascii="Arial Narrow" w:hAnsi="Arial Narrow"/>
                <w:sz w:val="20"/>
                <w:szCs w:val="20"/>
              </w:rPr>
              <w:t>(Mar 14)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5.0%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394D81" w:rsidRDefault="00EA62CE" w:rsidP="00EA62CE">
            <w:pPr>
              <w:jc w:val="center"/>
              <w:rPr>
                <w:rFonts w:ascii="Arial Narrow" w:hAnsi="Arial Narrow"/>
                <w:highlight w:val="yellow"/>
              </w:rPr>
            </w:pPr>
            <w:r w:rsidRPr="00394D81">
              <w:rPr>
                <w:rFonts w:ascii="Arial Narrow" w:hAnsi="Arial Narrow"/>
                <w:b/>
                <w:color w:val="FFC000"/>
              </w:rPr>
              <w:t>No change</w:t>
            </w:r>
          </w:p>
        </w:tc>
      </w:tr>
      <w:tr w:rsidR="00EA62CE" w:rsidRPr="00394D81" w:rsidTr="003B3DD3">
        <w:trPr>
          <w:trHeight w:val="257"/>
        </w:trPr>
        <w:tc>
          <w:tcPr>
            <w:tcW w:w="3028" w:type="dxa"/>
            <w:vMerge w:val="restart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Increase the confidence of communities by working with partners in the criminal justice system</w:t>
            </w:r>
          </w:p>
        </w:tc>
        <w:tc>
          <w:tcPr>
            <w:tcW w:w="3635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% confident that the CJS is effective</w:t>
            </w:r>
          </w:p>
        </w:tc>
        <w:tc>
          <w:tcPr>
            <w:tcW w:w="1560" w:type="dxa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43%</w:t>
            </w:r>
          </w:p>
          <w:p w:rsidR="00EA62CE" w:rsidRPr="00EA62CE" w:rsidRDefault="00EA62CE" w:rsidP="00EA62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(Mar 13)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39%</w:t>
            </w:r>
          </w:p>
          <w:p w:rsidR="00EA62CE" w:rsidRPr="00EA62CE" w:rsidRDefault="00EA62CE" w:rsidP="00EA62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(Mar 14)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394D81" w:rsidRDefault="00EA62CE" w:rsidP="00EA62CE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color w:val="FFC000"/>
              </w:rPr>
              <w:t>Slight deterioration</w:t>
            </w:r>
          </w:p>
        </w:tc>
      </w:tr>
      <w:tr w:rsidR="00EA62CE" w:rsidRPr="00394D81" w:rsidTr="003B3DD3">
        <w:trPr>
          <w:trHeight w:val="442"/>
        </w:trPr>
        <w:tc>
          <w:tcPr>
            <w:tcW w:w="3028" w:type="dxa"/>
            <w:vMerge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</w:p>
        </w:tc>
        <w:tc>
          <w:tcPr>
            <w:tcW w:w="3635" w:type="dxa"/>
          </w:tcPr>
          <w:p w:rsidR="00EA62CE" w:rsidRPr="00394D81" w:rsidRDefault="00EA62CE" w:rsidP="00EA62CE">
            <w:pPr>
              <w:rPr>
                <w:rFonts w:ascii="Arial Narrow" w:hAnsi="Arial Narrow"/>
              </w:rPr>
            </w:pPr>
            <w:r w:rsidRPr="00394D81">
              <w:rPr>
                <w:rFonts w:ascii="Arial Narrow" w:hAnsi="Arial Narrow"/>
              </w:rPr>
              <w:t>% confident that the CJS is fair</w:t>
            </w:r>
          </w:p>
        </w:tc>
        <w:tc>
          <w:tcPr>
            <w:tcW w:w="1560" w:type="dxa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62%</w:t>
            </w:r>
          </w:p>
          <w:p w:rsidR="00EA62CE" w:rsidRPr="00EA62CE" w:rsidRDefault="00EA62CE" w:rsidP="00EA62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(Mar 13)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EA62CE" w:rsidRDefault="00EA62CE" w:rsidP="00EA62CE">
            <w:pPr>
              <w:jc w:val="center"/>
              <w:rPr>
                <w:rFonts w:ascii="Arial Narrow" w:hAnsi="Arial Narrow"/>
              </w:rPr>
            </w:pPr>
            <w:r w:rsidRPr="00EA62CE">
              <w:rPr>
                <w:rFonts w:ascii="Arial Narrow" w:hAnsi="Arial Narrow"/>
              </w:rPr>
              <w:t>60%</w:t>
            </w:r>
          </w:p>
          <w:p w:rsidR="00EA62CE" w:rsidRPr="00EA62CE" w:rsidRDefault="00EA62CE" w:rsidP="00EA62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62CE">
              <w:rPr>
                <w:rFonts w:ascii="Arial Narrow" w:hAnsi="Arial Narrow"/>
                <w:sz w:val="20"/>
                <w:szCs w:val="20"/>
              </w:rPr>
              <w:t>(Mar 14)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2CE" w:rsidRPr="00394D81" w:rsidRDefault="00EA62CE" w:rsidP="00EA62CE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color w:val="FFC000"/>
              </w:rPr>
              <w:t>Slight deterioration</w:t>
            </w:r>
          </w:p>
        </w:tc>
      </w:tr>
    </w:tbl>
    <w:p w:rsidR="00570ACA" w:rsidRDefault="00C83807">
      <w:pPr>
        <w:rPr>
          <w:rFonts w:ascii="Arial Narrow" w:hAnsi="Arial Narrow"/>
        </w:rPr>
      </w:pPr>
      <w:r w:rsidRPr="00C83807">
        <w:rPr>
          <w:rFonts w:ascii="Arial Narrow" w:hAnsi="Arial Narrow"/>
          <w:vertAlign w:val="superscript"/>
        </w:rPr>
        <w:t>1</w:t>
      </w:r>
      <w:r>
        <w:rPr>
          <w:rFonts w:ascii="Arial Narrow" w:hAnsi="Arial Narrow"/>
        </w:rPr>
        <w:t xml:space="preserve"> </w:t>
      </w:r>
      <w:r w:rsidRPr="00C83807">
        <w:rPr>
          <w:rFonts w:ascii="Arial Narrow" w:hAnsi="Arial Narrow"/>
          <w:sz w:val="20"/>
          <w:szCs w:val="20"/>
        </w:rPr>
        <w:t xml:space="preserve">For total crime and domestic burglary the percentage reductions refer to the change over time between </w:t>
      </w:r>
      <w:r w:rsidR="00615164">
        <w:rPr>
          <w:rFonts w:ascii="Arial Narrow" w:hAnsi="Arial Narrow"/>
          <w:sz w:val="20"/>
          <w:szCs w:val="20"/>
        </w:rPr>
        <w:t>January</w:t>
      </w:r>
      <w:r w:rsidR="00900CC5">
        <w:rPr>
          <w:rFonts w:ascii="Arial Narrow" w:hAnsi="Arial Narrow"/>
          <w:sz w:val="20"/>
          <w:szCs w:val="20"/>
        </w:rPr>
        <w:t xml:space="preserve"> to </w:t>
      </w:r>
      <w:r w:rsidR="00615164">
        <w:rPr>
          <w:rFonts w:ascii="Arial Narrow" w:hAnsi="Arial Narrow"/>
          <w:sz w:val="20"/>
          <w:szCs w:val="20"/>
        </w:rPr>
        <w:t>Dec</w:t>
      </w:r>
      <w:r w:rsidR="00900CC5">
        <w:rPr>
          <w:rFonts w:ascii="Arial Narrow" w:hAnsi="Arial Narrow"/>
          <w:sz w:val="20"/>
          <w:szCs w:val="20"/>
        </w:rPr>
        <w:t>ember</w:t>
      </w:r>
      <w:r w:rsidRPr="00C83807">
        <w:rPr>
          <w:rFonts w:ascii="Arial Narrow" w:hAnsi="Arial Narrow"/>
          <w:sz w:val="20"/>
          <w:szCs w:val="20"/>
        </w:rPr>
        <w:t xml:space="preserve"> 2012 and </w:t>
      </w:r>
      <w:r w:rsidR="00615164">
        <w:rPr>
          <w:rFonts w:ascii="Arial Narrow" w:hAnsi="Arial Narrow"/>
          <w:sz w:val="20"/>
          <w:szCs w:val="20"/>
        </w:rPr>
        <w:t>January</w:t>
      </w:r>
      <w:r w:rsidRPr="00C83807">
        <w:rPr>
          <w:rFonts w:ascii="Arial Narrow" w:hAnsi="Arial Narrow"/>
          <w:sz w:val="20"/>
          <w:szCs w:val="20"/>
        </w:rPr>
        <w:t xml:space="preserve"> to </w:t>
      </w:r>
      <w:r w:rsidR="00615164">
        <w:rPr>
          <w:rFonts w:ascii="Arial Narrow" w:hAnsi="Arial Narrow"/>
          <w:sz w:val="20"/>
          <w:szCs w:val="20"/>
        </w:rPr>
        <w:t>Dec</w:t>
      </w:r>
      <w:r w:rsidR="00900CC5">
        <w:rPr>
          <w:rFonts w:ascii="Arial Narrow" w:hAnsi="Arial Narrow"/>
          <w:sz w:val="20"/>
          <w:szCs w:val="20"/>
        </w:rPr>
        <w:t>ember</w:t>
      </w:r>
      <w:r w:rsidRPr="00C83807">
        <w:rPr>
          <w:rFonts w:ascii="Arial Narrow" w:hAnsi="Arial Narrow"/>
          <w:sz w:val="20"/>
          <w:szCs w:val="20"/>
        </w:rPr>
        <w:t xml:space="preserve"> 2013, and </w:t>
      </w:r>
      <w:r w:rsidR="00900CC5">
        <w:rPr>
          <w:rFonts w:ascii="Arial Narrow" w:hAnsi="Arial Narrow"/>
          <w:sz w:val="20"/>
          <w:szCs w:val="20"/>
        </w:rPr>
        <w:t xml:space="preserve">the change over time between </w:t>
      </w:r>
      <w:r w:rsidR="00615164">
        <w:rPr>
          <w:rFonts w:ascii="Arial Narrow" w:hAnsi="Arial Narrow"/>
          <w:sz w:val="20"/>
          <w:szCs w:val="20"/>
        </w:rPr>
        <w:t>January</w:t>
      </w:r>
      <w:r w:rsidRPr="00C83807">
        <w:rPr>
          <w:rFonts w:ascii="Arial Narrow" w:hAnsi="Arial Narrow"/>
          <w:sz w:val="20"/>
          <w:szCs w:val="20"/>
        </w:rPr>
        <w:t xml:space="preserve"> to </w:t>
      </w:r>
      <w:r w:rsidR="00615164">
        <w:rPr>
          <w:rFonts w:ascii="Arial Narrow" w:hAnsi="Arial Narrow"/>
          <w:sz w:val="20"/>
          <w:szCs w:val="20"/>
        </w:rPr>
        <w:t>Dec</w:t>
      </w:r>
      <w:r w:rsidR="00900CC5">
        <w:rPr>
          <w:rFonts w:ascii="Arial Narrow" w:hAnsi="Arial Narrow"/>
          <w:sz w:val="20"/>
          <w:szCs w:val="20"/>
        </w:rPr>
        <w:t>ember</w:t>
      </w:r>
      <w:r w:rsidRPr="00C83807">
        <w:rPr>
          <w:rFonts w:ascii="Arial Narrow" w:hAnsi="Arial Narrow"/>
          <w:sz w:val="20"/>
          <w:szCs w:val="20"/>
        </w:rPr>
        <w:t xml:space="preserve"> 2013 and </w:t>
      </w:r>
      <w:r w:rsidR="00615164">
        <w:rPr>
          <w:rFonts w:ascii="Arial Narrow" w:hAnsi="Arial Narrow"/>
          <w:sz w:val="20"/>
          <w:szCs w:val="20"/>
        </w:rPr>
        <w:t>January</w:t>
      </w:r>
      <w:r w:rsidRPr="00C83807">
        <w:rPr>
          <w:rFonts w:ascii="Arial Narrow" w:hAnsi="Arial Narrow"/>
          <w:sz w:val="20"/>
          <w:szCs w:val="20"/>
        </w:rPr>
        <w:t xml:space="preserve"> to </w:t>
      </w:r>
      <w:r w:rsidR="00615164">
        <w:rPr>
          <w:rFonts w:ascii="Arial Narrow" w:hAnsi="Arial Narrow"/>
          <w:sz w:val="20"/>
          <w:szCs w:val="20"/>
        </w:rPr>
        <w:t>Dec</w:t>
      </w:r>
      <w:r w:rsidR="00900CC5">
        <w:rPr>
          <w:rFonts w:ascii="Arial Narrow" w:hAnsi="Arial Narrow"/>
          <w:sz w:val="20"/>
          <w:szCs w:val="20"/>
        </w:rPr>
        <w:t>ember</w:t>
      </w:r>
      <w:r w:rsidRPr="00C83807">
        <w:rPr>
          <w:rFonts w:ascii="Arial Narrow" w:hAnsi="Arial Narrow"/>
          <w:sz w:val="20"/>
          <w:szCs w:val="20"/>
        </w:rPr>
        <w:t xml:space="preserve"> 2014</w:t>
      </w:r>
      <w:r w:rsidR="00900CC5">
        <w:rPr>
          <w:rFonts w:ascii="Arial Narrow" w:hAnsi="Arial Narrow"/>
          <w:sz w:val="20"/>
          <w:szCs w:val="20"/>
        </w:rPr>
        <w:t>.</w:t>
      </w:r>
    </w:p>
    <w:p w:rsidR="002D2D11" w:rsidRPr="002D2D11" w:rsidRDefault="00C83807">
      <w:pPr>
        <w:rPr>
          <w:rFonts w:ascii="Arial Narrow" w:hAnsi="Arial Narrow"/>
          <w:sz w:val="20"/>
          <w:szCs w:val="20"/>
        </w:rPr>
      </w:pPr>
      <w:r w:rsidRPr="00C83807"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</w:t>
      </w:r>
      <w:r w:rsidRPr="00C83807">
        <w:rPr>
          <w:rFonts w:ascii="Arial Narrow" w:hAnsi="Arial Narrow"/>
          <w:sz w:val="20"/>
          <w:szCs w:val="20"/>
        </w:rPr>
        <w:t xml:space="preserve">The trend over time refers to the 12 months to </w:t>
      </w:r>
      <w:r w:rsidR="00615164">
        <w:rPr>
          <w:rFonts w:ascii="Arial Narrow" w:hAnsi="Arial Narrow"/>
          <w:sz w:val="20"/>
          <w:szCs w:val="20"/>
        </w:rPr>
        <w:t>Dec</w:t>
      </w:r>
      <w:r w:rsidR="00900CC5">
        <w:rPr>
          <w:rFonts w:ascii="Arial Narrow" w:hAnsi="Arial Narrow"/>
          <w:sz w:val="20"/>
          <w:szCs w:val="20"/>
        </w:rPr>
        <w:t>ember</w:t>
      </w:r>
      <w:r w:rsidRPr="00C83807">
        <w:rPr>
          <w:rFonts w:ascii="Arial Narrow" w:hAnsi="Arial Narrow"/>
          <w:sz w:val="20"/>
          <w:szCs w:val="20"/>
        </w:rPr>
        <w:t xml:space="preserve"> 2014 versus the 12 months to </w:t>
      </w:r>
      <w:r w:rsidR="00615164">
        <w:rPr>
          <w:rFonts w:ascii="Arial Narrow" w:hAnsi="Arial Narrow"/>
          <w:sz w:val="20"/>
          <w:szCs w:val="20"/>
        </w:rPr>
        <w:t>Dec</w:t>
      </w:r>
      <w:r w:rsidR="00900CC5">
        <w:rPr>
          <w:rFonts w:ascii="Arial Narrow" w:hAnsi="Arial Narrow"/>
          <w:sz w:val="20"/>
          <w:szCs w:val="20"/>
        </w:rPr>
        <w:t>ember 2013.</w:t>
      </w:r>
    </w:p>
    <w:sectPr w:rsidR="002D2D11" w:rsidRPr="002D2D11" w:rsidSect="00E55ECE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F9" w:rsidRDefault="004E1AF9">
      <w:r>
        <w:separator/>
      </w:r>
    </w:p>
  </w:endnote>
  <w:endnote w:type="continuationSeparator" w:id="0">
    <w:p w:rsidR="004E1AF9" w:rsidRDefault="004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79" w:rsidRPr="0046030D" w:rsidRDefault="00573779" w:rsidP="0046030D">
    <w:pPr>
      <w:pStyle w:val="Footer"/>
      <w:jc w:val="center"/>
      <w:rPr>
        <w:sz w:val="18"/>
        <w:szCs w:val="18"/>
      </w:rPr>
    </w:pPr>
    <w:r w:rsidRPr="0046030D">
      <w:rPr>
        <w:sz w:val="18"/>
        <w:szCs w:val="18"/>
      </w:rPr>
      <w:t xml:space="preserve">Page </w:t>
    </w:r>
    <w:r w:rsidRPr="0046030D">
      <w:rPr>
        <w:sz w:val="18"/>
        <w:szCs w:val="18"/>
      </w:rPr>
      <w:fldChar w:fldCharType="begin"/>
    </w:r>
    <w:r w:rsidRPr="0046030D">
      <w:rPr>
        <w:sz w:val="18"/>
        <w:szCs w:val="18"/>
      </w:rPr>
      <w:instrText xml:space="preserve"> PAGE </w:instrText>
    </w:r>
    <w:r w:rsidRPr="0046030D">
      <w:rPr>
        <w:sz w:val="18"/>
        <w:szCs w:val="18"/>
      </w:rPr>
      <w:fldChar w:fldCharType="separate"/>
    </w:r>
    <w:r w:rsidR="00600C4E">
      <w:rPr>
        <w:noProof/>
        <w:sz w:val="18"/>
        <w:szCs w:val="18"/>
      </w:rPr>
      <w:t>1</w:t>
    </w:r>
    <w:r w:rsidRPr="0046030D">
      <w:rPr>
        <w:sz w:val="18"/>
        <w:szCs w:val="18"/>
      </w:rPr>
      <w:fldChar w:fldCharType="end"/>
    </w:r>
    <w:r w:rsidRPr="0046030D">
      <w:rPr>
        <w:sz w:val="18"/>
        <w:szCs w:val="18"/>
      </w:rPr>
      <w:t xml:space="preserve"> of </w:t>
    </w:r>
    <w:r w:rsidRPr="0046030D">
      <w:rPr>
        <w:sz w:val="18"/>
        <w:szCs w:val="18"/>
      </w:rPr>
      <w:fldChar w:fldCharType="begin"/>
    </w:r>
    <w:r w:rsidRPr="0046030D">
      <w:rPr>
        <w:sz w:val="18"/>
        <w:szCs w:val="18"/>
      </w:rPr>
      <w:instrText xml:space="preserve"> NUMPAGES </w:instrText>
    </w:r>
    <w:r w:rsidRPr="0046030D">
      <w:rPr>
        <w:sz w:val="18"/>
        <w:szCs w:val="18"/>
      </w:rPr>
      <w:fldChar w:fldCharType="separate"/>
    </w:r>
    <w:r w:rsidR="00600C4E">
      <w:rPr>
        <w:noProof/>
        <w:sz w:val="18"/>
        <w:szCs w:val="18"/>
      </w:rPr>
      <w:t>1</w:t>
    </w:r>
    <w:r w:rsidRPr="004603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F9" w:rsidRDefault="004E1AF9">
      <w:r>
        <w:separator/>
      </w:r>
    </w:p>
  </w:footnote>
  <w:footnote w:type="continuationSeparator" w:id="0">
    <w:p w:rsidR="004E1AF9" w:rsidRDefault="004E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50"/>
    <w:rsid w:val="00000CF9"/>
    <w:rsid w:val="00005A4A"/>
    <w:rsid w:val="000133BC"/>
    <w:rsid w:val="00013AE8"/>
    <w:rsid w:val="0001587A"/>
    <w:rsid w:val="000164A3"/>
    <w:rsid w:val="000203C7"/>
    <w:rsid w:val="00020BA6"/>
    <w:rsid w:val="000210D2"/>
    <w:rsid w:val="0002330D"/>
    <w:rsid w:val="00024FBA"/>
    <w:rsid w:val="00025293"/>
    <w:rsid w:val="0003128F"/>
    <w:rsid w:val="000403AA"/>
    <w:rsid w:val="000415D1"/>
    <w:rsid w:val="00045E60"/>
    <w:rsid w:val="000475E8"/>
    <w:rsid w:val="0005435B"/>
    <w:rsid w:val="00061416"/>
    <w:rsid w:val="000640CA"/>
    <w:rsid w:val="00065EAF"/>
    <w:rsid w:val="00071DF3"/>
    <w:rsid w:val="00082D55"/>
    <w:rsid w:val="00087D81"/>
    <w:rsid w:val="00091DAF"/>
    <w:rsid w:val="00094F73"/>
    <w:rsid w:val="00095B35"/>
    <w:rsid w:val="000960A9"/>
    <w:rsid w:val="00097698"/>
    <w:rsid w:val="000A7F87"/>
    <w:rsid w:val="000B673B"/>
    <w:rsid w:val="000C2587"/>
    <w:rsid w:val="000C2D86"/>
    <w:rsid w:val="000C3EBA"/>
    <w:rsid w:val="000E3A19"/>
    <w:rsid w:val="000F0333"/>
    <w:rsid w:val="000F2757"/>
    <w:rsid w:val="000F39B9"/>
    <w:rsid w:val="000F79F7"/>
    <w:rsid w:val="0010067B"/>
    <w:rsid w:val="001022EF"/>
    <w:rsid w:val="00127F28"/>
    <w:rsid w:val="00130DFC"/>
    <w:rsid w:val="00150313"/>
    <w:rsid w:val="00150FA0"/>
    <w:rsid w:val="00151C3E"/>
    <w:rsid w:val="001535F7"/>
    <w:rsid w:val="00160E85"/>
    <w:rsid w:val="00161413"/>
    <w:rsid w:val="00171428"/>
    <w:rsid w:val="00194C5C"/>
    <w:rsid w:val="00194EEF"/>
    <w:rsid w:val="001A607F"/>
    <w:rsid w:val="001C528F"/>
    <w:rsid w:val="001C7B77"/>
    <w:rsid w:val="001D0E15"/>
    <w:rsid w:val="001E04DA"/>
    <w:rsid w:val="001F549B"/>
    <w:rsid w:val="00205573"/>
    <w:rsid w:val="00207C81"/>
    <w:rsid w:val="00214489"/>
    <w:rsid w:val="00226564"/>
    <w:rsid w:val="00240D97"/>
    <w:rsid w:val="00240DB0"/>
    <w:rsid w:val="002432CC"/>
    <w:rsid w:val="0024401A"/>
    <w:rsid w:val="0025322A"/>
    <w:rsid w:val="00264A6E"/>
    <w:rsid w:val="00267F57"/>
    <w:rsid w:val="00275B05"/>
    <w:rsid w:val="002766AB"/>
    <w:rsid w:val="002845D2"/>
    <w:rsid w:val="00291B8A"/>
    <w:rsid w:val="002A4853"/>
    <w:rsid w:val="002A6470"/>
    <w:rsid w:val="002B1798"/>
    <w:rsid w:val="002B1938"/>
    <w:rsid w:val="002B50E1"/>
    <w:rsid w:val="002C03F0"/>
    <w:rsid w:val="002C2B12"/>
    <w:rsid w:val="002D2D11"/>
    <w:rsid w:val="002D3568"/>
    <w:rsid w:val="002D6CCF"/>
    <w:rsid w:val="002E5509"/>
    <w:rsid w:val="002F25E4"/>
    <w:rsid w:val="002F6DEC"/>
    <w:rsid w:val="002F7221"/>
    <w:rsid w:val="003043B9"/>
    <w:rsid w:val="00305B47"/>
    <w:rsid w:val="0031275E"/>
    <w:rsid w:val="00313D09"/>
    <w:rsid w:val="003142C1"/>
    <w:rsid w:val="00316E6A"/>
    <w:rsid w:val="00326617"/>
    <w:rsid w:val="00327CB8"/>
    <w:rsid w:val="00331680"/>
    <w:rsid w:val="0033207C"/>
    <w:rsid w:val="00337FD1"/>
    <w:rsid w:val="00365BA5"/>
    <w:rsid w:val="003831E7"/>
    <w:rsid w:val="00387EEA"/>
    <w:rsid w:val="00394D81"/>
    <w:rsid w:val="00396B3A"/>
    <w:rsid w:val="00396B52"/>
    <w:rsid w:val="003B3DD3"/>
    <w:rsid w:val="003B4DC9"/>
    <w:rsid w:val="003B64F0"/>
    <w:rsid w:val="003C1819"/>
    <w:rsid w:val="003C557D"/>
    <w:rsid w:val="003C5807"/>
    <w:rsid w:val="003C5CFE"/>
    <w:rsid w:val="003D52C0"/>
    <w:rsid w:val="003E182E"/>
    <w:rsid w:val="003E5E0C"/>
    <w:rsid w:val="003F5999"/>
    <w:rsid w:val="0040128D"/>
    <w:rsid w:val="00401BEE"/>
    <w:rsid w:val="00404275"/>
    <w:rsid w:val="00406A14"/>
    <w:rsid w:val="004078A2"/>
    <w:rsid w:val="00412CB9"/>
    <w:rsid w:val="00415B44"/>
    <w:rsid w:val="00443FFD"/>
    <w:rsid w:val="0045663C"/>
    <w:rsid w:val="0046030D"/>
    <w:rsid w:val="00461FDA"/>
    <w:rsid w:val="00462443"/>
    <w:rsid w:val="00462F6F"/>
    <w:rsid w:val="00467222"/>
    <w:rsid w:val="00472C1A"/>
    <w:rsid w:val="004746CE"/>
    <w:rsid w:val="004761F0"/>
    <w:rsid w:val="00477B3F"/>
    <w:rsid w:val="00482BCF"/>
    <w:rsid w:val="00483926"/>
    <w:rsid w:val="00483C84"/>
    <w:rsid w:val="004863B8"/>
    <w:rsid w:val="0049587B"/>
    <w:rsid w:val="004A1523"/>
    <w:rsid w:val="004A3989"/>
    <w:rsid w:val="004A7A2E"/>
    <w:rsid w:val="004C07BA"/>
    <w:rsid w:val="004C5B7D"/>
    <w:rsid w:val="004E1AF9"/>
    <w:rsid w:val="004E354F"/>
    <w:rsid w:val="004F0CAA"/>
    <w:rsid w:val="004F14FF"/>
    <w:rsid w:val="004F20BA"/>
    <w:rsid w:val="004F5C89"/>
    <w:rsid w:val="0050004A"/>
    <w:rsid w:val="00514C48"/>
    <w:rsid w:val="00514D85"/>
    <w:rsid w:val="00516B05"/>
    <w:rsid w:val="00526C46"/>
    <w:rsid w:val="005416BC"/>
    <w:rsid w:val="00543E56"/>
    <w:rsid w:val="00544C08"/>
    <w:rsid w:val="005500E6"/>
    <w:rsid w:val="00552D69"/>
    <w:rsid w:val="00553184"/>
    <w:rsid w:val="005555F5"/>
    <w:rsid w:val="00564E9A"/>
    <w:rsid w:val="00570ACA"/>
    <w:rsid w:val="00572323"/>
    <w:rsid w:val="00573779"/>
    <w:rsid w:val="005746A5"/>
    <w:rsid w:val="005757FD"/>
    <w:rsid w:val="005778E8"/>
    <w:rsid w:val="00590142"/>
    <w:rsid w:val="00592765"/>
    <w:rsid w:val="0059425A"/>
    <w:rsid w:val="00596A6A"/>
    <w:rsid w:val="005A68FE"/>
    <w:rsid w:val="005A70AE"/>
    <w:rsid w:val="005B2272"/>
    <w:rsid w:val="005B6EB1"/>
    <w:rsid w:val="005B7ACD"/>
    <w:rsid w:val="005C2BA6"/>
    <w:rsid w:val="005D652D"/>
    <w:rsid w:val="005D7FE6"/>
    <w:rsid w:val="005E4547"/>
    <w:rsid w:val="005E4EC8"/>
    <w:rsid w:val="005E6520"/>
    <w:rsid w:val="005F7511"/>
    <w:rsid w:val="00600C4E"/>
    <w:rsid w:val="006035D8"/>
    <w:rsid w:val="00615164"/>
    <w:rsid w:val="00621215"/>
    <w:rsid w:val="00630086"/>
    <w:rsid w:val="006325D8"/>
    <w:rsid w:val="006342A2"/>
    <w:rsid w:val="00637000"/>
    <w:rsid w:val="006427D6"/>
    <w:rsid w:val="00644382"/>
    <w:rsid w:val="00644E4F"/>
    <w:rsid w:val="0065421F"/>
    <w:rsid w:val="006669A7"/>
    <w:rsid w:val="00671FC9"/>
    <w:rsid w:val="0068434C"/>
    <w:rsid w:val="006A7AE7"/>
    <w:rsid w:val="006B0487"/>
    <w:rsid w:val="006C1AA9"/>
    <w:rsid w:val="006C78A3"/>
    <w:rsid w:val="006D6775"/>
    <w:rsid w:val="006D7F1C"/>
    <w:rsid w:val="006E4269"/>
    <w:rsid w:val="006F26A3"/>
    <w:rsid w:val="00701E2D"/>
    <w:rsid w:val="00704795"/>
    <w:rsid w:val="00710291"/>
    <w:rsid w:val="0071749C"/>
    <w:rsid w:val="00733DEE"/>
    <w:rsid w:val="0074790D"/>
    <w:rsid w:val="0075299E"/>
    <w:rsid w:val="00766514"/>
    <w:rsid w:val="0076690D"/>
    <w:rsid w:val="00783040"/>
    <w:rsid w:val="00784831"/>
    <w:rsid w:val="007A7025"/>
    <w:rsid w:val="007B60B3"/>
    <w:rsid w:val="007D01AB"/>
    <w:rsid w:val="007D471F"/>
    <w:rsid w:val="007D6EAD"/>
    <w:rsid w:val="007E17D7"/>
    <w:rsid w:val="007E2855"/>
    <w:rsid w:val="007E3920"/>
    <w:rsid w:val="007F22A6"/>
    <w:rsid w:val="007F65B1"/>
    <w:rsid w:val="0080441F"/>
    <w:rsid w:val="00806CC6"/>
    <w:rsid w:val="0081241F"/>
    <w:rsid w:val="0081605A"/>
    <w:rsid w:val="00816BAF"/>
    <w:rsid w:val="008223F2"/>
    <w:rsid w:val="00825AD7"/>
    <w:rsid w:val="00834DF4"/>
    <w:rsid w:val="008407DF"/>
    <w:rsid w:val="008427BE"/>
    <w:rsid w:val="0084635F"/>
    <w:rsid w:val="00847190"/>
    <w:rsid w:val="00850476"/>
    <w:rsid w:val="008678C6"/>
    <w:rsid w:val="008704D9"/>
    <w:rsid w:val="00870755"/>
    <w:rsid w:val="00871BCF"/>
    <w:rsid w:val="00875885"/>
    <w:rsid w:val="00880641"/>
    <w:rsid w:val="00886A75"/>
    <w:rsid w:val="00887CE6"/>
    <w:rsid w:val="008A26D2"/>
    <w:rsid w:val="008A3A58"/>
    <w:rsid w:val="008B05D0"/>
    <w:rsid w:val="008B4246"/>
    <w:rsid w:val="008B4A0F"/>
    <w:rsid w:val="008B569B"/>
    <w:rsid w:val="008C2713"/>
    <w:rsid w:val="008C4250"/>
    <w:rsid w:val="008C443E"/>
    <w:rsid w:val="008D7B20"/>
    <w:rsid w:val="008E6DDD"/>
    <w:rsid w:val="008F0B2F"/>
    <w:rsid w:val="00900CC5"/>
    <w:rsid w:val="00930CD0"/>
    <w:rsid w:val="00935CB7"/>
    <w:rsid w:val="00937951"/>
    <w:rsid w:val="00940AB6"/>
    <w:rsid w:val="0094162A"/>
    <w:rsid w:val="00945817"/>
    <w:rsid w:val="009578B0"/>
    <w:rsid w:val="009617EB"/>
    <w:rsid w:val="00965BFF"/>
    <w:rsid w:val="00983163"/>
    <w:rsid w:val="00983A3D"/>
    <w:rsid w:val="009843D0"/>
    <w:rsid w:val="00984E10"/>
    <w:rsid w:val="00992192"/>
    <w:rsid w:val="00994AB3"/>
    <w:rsid w:val="009A5A90"/>
    <w:rsid w:val="009B7428"/>
    <w:rsid w:val="009C38E1"/>
    <w:rsid w:val="009C4362"/>
    <w:rsid w:val="009C43A8"/>
    <w:rsid w:val="009C78B3"/>
    <w:rsid w:val="009D7DA8"/>
    <w:rsid w:val="009F037E"/>
    <w:rsid w:val="009F4DCD"/>
    <w:rsid w:val="009F7B88"/>
    <w:rsid w:val="00A00B33"/>
    <w:rsid w:val="00A03EEE"/>
    <w:rsid w:val="00A101DE"/>
    <w:rsid w:val="00A105D9"/>
    <w:rsid w:val="00A125E8"/>
    <w:rsid w:val="00A21BCD"/>
    <w:rsid w:val="00A3069F"/>
    <w:rsid w:val="00A32451"/>
    <w:rsid w:val="00A32685"/>
    <w:rsid w:val="00A354C0"/>
    <w:rsid w:val="00A45464"/>
    <w:rsid w:val="00A46796"/>
    <w:rsid w:val="00A536AA"/>
    <w:rsid w:val="00A57A53"/>
    <w:rsid w:val="00A66C66"/>
    <w:rsid w:val="00A72E78"/>
    <w:rsid w:val="00A76857"/>
    <w:rsid w:val="00A960FC"/>
    <w:rsid w:val="00A9667F"/>
    <w:rsid w:val="00AA506F"/>
    <w:rsid w:val="00AB5852"/>
    <w:rsid w:val="00AD20F5"/>
    <w:rsid w:val="00AD42F1"/>
    <w:rsid w:val="00AE093C"/>
    <w:rsid w:val="00AF1B3D"/>
    <w:rsid w:val="00AF4A92"/>
    <w:rsid w:val="00B04015"/>
    <w:rsid w:val="00B058DC"/>
    <w:rsid w:val="00B175A7"/>
    <w:rsid w:val="00B2097C"/>
    <w:rsid w:val="00B37B3B"/>
    <w:rsid w:val="00B4113E"/>
    <w:rsid w:val="00B43DBB"/>
    <w:rsid w:val="00B44613"/>
    <w:rsid w:val="00B466C9"/>
    <w:rsid w:val="00B52B63"/>
    <w:rsid w:val="00B61897"/>
    <w:rsid w:val="00B75704"/>
    <w:rsid w:val="00B81CBF"/>
    <w:rsid w:val="00B87C3A"/>
    <w:rsid w:val="00B954E1"/>
    <w:rsid w:val="00B964B4"/>
    <w:rsid w:val="00BA2901"/>
    <w:rsid w:val="00BA76BC"/>
    <w:rsid w:val="00BC68B5"/>
    <w:rsid w:val="00BD07C8"/>
    <w:rsid w:val="00BE0236"/>
    <w:rsid w:val="00BE2F62"/>
    <w:rsid w:val="00BE3234"/>
    <w:rsid w:val="00BE5F12"/>
    <w:rsid w:val="00BE664C"/>
    <w:rsid w:val="00BF1B3E"/>
    <w:rsid w:val="00BF359B"/>
    <w:rsid w:val="00C10417"/>
    <w:rsid w:val="00C1306F"/>
    <w:rsid w:val="00C14E61"/>
    <w:rsid w:val="00C430B7"/>
    <w:rsid w:val="00C45ED7"/>
    <w:rsid w:val="00C51E92"/>
    <w:rsid w:val="00C70151"/>
    <w:rsid w:val="00C72280"/>
    <w:rsid w:val="00C73CC3"/>
    <w:rsid w:val="00C76B98"/>
    <w:rsid w:val="00C778FF"/>
    <w:rsid w:val="00C77C52"/>
    <w:rsid w:val="00C8178E"/>
    <w:rsid w:val="00C82E4A"/>
    <w:rsid w:val="00C83807"/>
    <w:rsid w:val="00CA0536"/>
    <w:rsid w:val="00CA7066"/>
    <w:rsid w:val="00CB1C64"/>
    <w:rsid w:val="00CB2AEB"/>
    <w:rsid w:val="00CB3361"/>
    <w:rsid w:val="00CB37C1"/>
    <w:rsid w:val="00CD00A2"/>
    <w:rsid w:val="00CD170D"/>
    <w:rsid w:val="00CF3CD7"/>
    <w:rsid w:val="00D01269"/>
    <w:rsid w:val="00D02A42"/>
    <w:rsid w:val="00D04559"/>
    <w:rsid w:val="00D06C8B"/>
    <w:rsid w:val="00D14D83"/>
    <w:rsid w:val="00D20AC4"/>
    <w:rsid w:val="00D24AF6"/>
    <w:rsid w:val="00D25104"/>
    <w:rsid w:val="00D32751"/>
    <w:rsid w:val="00D33D48"/>
    <w:rsid w:val="00D40A2D"/>
    <w:rsid w:val="00D42B17"/>
    <w:rsid w:val="00D4346F"/>
    <w:rsid w:val="00D45BE1"/>
    <w:rsid w:val="00D5534B"/>
    <w:rsid w:val="00D6602C"/>
    <w:rsid w:val="00D73EBD"/>
    <w:rsid w:val="00D8014F"/>
    <w:rsid w:val="00D8178D"/>
    <w:rsid w:val="00D83505"/>
    <w:rsid w:val="00D83A16"/>
    <w:rsid w:val="00D84475"/>
    <w:rsid w:val="00D85144"/>
    <w:rsid w:val="00D91F0E"/>
    <w:rsid w:val="00D9202A"/>
    <w:rsid w:val="00D96C61"/>
    <w:rsid w:val="00DA2609"/>
    <w:rsid w:val="00DC26DF"/>
    <w:rsid w:val="00DC76E1"/>
    <w:rsid w:val="00DE0312"/>
    <w:rsid w:val="00DE1D45"/>
    <w:rsid w:val="00DE5177"/>
    <w:rsid w:val="00DE67E4"/>
    <w:rsid w:val="00DF2130"/>
    <w:rsid w:val="00E130FE"/>
    <w:rsid w:val="00E30493"/>
    <w:rsid w:val="00E46C52"/>
    <w:rsid w:val="00E46DBB"/>
    <w:rsid w:val="00E55ECE"/>
    <w:rsid w:val="00E6237D"/>
    <w:rsid w:val="00E62858"/>
    <w:rsid w:val="00E66207"/>
    <w:rsid w:val="00E70C2D"/>
    <w:rsid w:val="00E7644F"/>
    <w:rsid w:val="00E83D56"/>
    <w:rsid w:val="00E87E95"/>
    <w:rsid w:val="00E90018"/>
    <w:rsid w:val="00E92D72"/>
    <w:rsid w:val="00EA3BCB"/>
    <w:rsid w:val="00EA3BD8"/>
    <w:rsid w:val="00EA62CE"/>
    <w:rsid w:val="00EB2DB4"/>
    <w:rsid w:val="00EB49A9"/>
    <w:rsid w:val="00EB6B7C"/>
    <w:rsid w:val="00EB6C63"/>
    <w:rsid w:val="00EB76C8"/>
    <w:rsid w:val="00EC456A"/>
    <w:rsid w:val="00EC7EFB"/>
    <w:rsid w:val="00ED0ABA"/>
    <w:rsid w:val="00ED2B41"/>
    <w:rsid w:val="00ED6B63"/>
    <w:rsid w:val="00EE09A5"/>
    <w:rsid w:val="00EE47C9"/>
    <w:rsid w:val="00EF49BA"/>
    <w:rsid w:val="00F0541D"/>
    <w:rsid w:val="00F10612"/>
    <w:rsid w:val="00F26038"/>
    <w:rsid w:val="00F27618"/>
    <w:rsid w:val="00F3396E"/>
    <w:rsid w:val="00F6054C"/>
    <w:rsid w:val="00F702D3"/>
    <w:rsid w:val="00F71578"/>
    <w:rsid w:val="00F83380"/>
    <w:rsid w:val="00F85F70"/>
    <w:rsid w:val="00F87B98"/>
    <w:rsid w:val="00F94A12"/>
    <w:rsid w:val="00FA11E8"/>
    <w:rsid w:val="00FB3DE3"/>
    <w:rsid w:val="00FB411C"/>
    <w:rsid w:val="00FD30C8"/>
    <w:rsid w:val="00FE3978"/>
    <w:rsid w:val="00FF6869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03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3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03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3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B46BF-61DD-43D7-855B-E52F4CA86473}"/>
</file>

<file path=customXml/itemProps2.xml><?xml version="1.0" encoding="utf-8"?>
<ds:datastoreItem xmlns:ds="http://schemas.openxmlformats.org/officeDocument/2006/customXml" ds:itemID="{52F3E677-3344-42BF-BD74-0A507E61DE19}"/>
</file>

<file path=customXml/itemProps3.xml><?xml version="1.0" encoding="utf-8"?>
<ds:datastoreItem xmlns:ds="http://schemas.openxmlformats.org/officeDocument/2006/customXml" ds:itemID="{39859EDB-1D69-4B64-B693-76B115D84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force suggestions</vt:lpstr>
    </vt:vector>
  </TitlesOfParts>
  <Company>West Yorkshire Police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9 - Quarterly Performance Scrutiny 31 Dec 14 App A</dc:title>
  <dc:creator>724276</dc:creator>
  <cp:lastModifiedBy>Duckett, Emma</cp:lastModifiedBy>
  <cp:revision>2</cp:revision>
  <cp:lastPrinted>2014-05-01T11:22:00Z</cp:lastPrinted>
  <dcterms:created xsi:type="dcterms:W3CDTF">2015-02-26T15:40:00Z</dcterms:created>
  <dcterms:modified xsi:type="dcterms:W3CDTF">2015-02-26T15:40:00Z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